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11" w:rsidRDefault="0072686E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Ответственность 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буллинг</w:t>
      </w:r>
      <w:proofErr w:type="spellEnd"/>
    </w:p>
    <w:p w:rsidR="00857281" w:rsidRPr="00537247" w:rsidRDefault="0085728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современных реалиях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не редко совершается с использованием сети Интернет - такие действия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называеются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кибербуллингом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Административная ответственность за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(травлю) установлена Кодексом Российской Федерации об административных правонарушениях: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- статьей 5.61 КоАП РФ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а также за оскорбление, содержащееся в публичном выступлении, публично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демострирующемся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Интернет;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- статьей 5.61.1 КоАП РФ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за клевету, то есть распространение заведомо ложных сведений, порочащих честь и достоинство другого лица или подрывающих его репутацию;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- статьей 20.1 КоАП РФ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за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а также за распространение в информационно-телекоммуникационных сетях, в том числе в сети Интернет, информации, выражающей в неприличной форме, которая оскорбляет человеческое достоинство и общественную нравственность.</w:t>
      </w:r>
      <w:proofErr w:type="gramEnd"/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Указанные действия могут повлечь наложение административного штрафа или административный арест.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Уголовная ответственность за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кибербуллинг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(травлю) может наступить в соответствии со статьями 128.1 (клевета), 213 (хулиганство), 137 </w:t>
      </w:r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(нарушение неприкосновенности частной жизни) Уголовного кодекса Российской Федерации.</w:t>
      </w:r>
    </w:p>
    <w:p w:rsidR="0072686E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Кибербуллинг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</w:t>
      </w:r>
      <w:proofErr w:type="gram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сопровождающийся</w:t>
      </w:r>
      <w:proofErr w:type="gram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взломом принадлежащих потерпевшему электронной почты, аккаунтов в социальных сетях, после чего правонарушителем для обозрения в целях публичного унижения жертвы распространяются материалы личного, в </w:t>
      </w:r>
      <w:proofErr w:type="spellStart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т.ч</w:t>
      </w:r>
      <w:proofErr w:type="spellEnd"/>
      <w:r w:rsidRPr="0072686E">
        <w:rPr>
          <w:rFonts w:ascii="Times New Roman" w:eastAsia="Times New Roman" w:hAnsi="Times New Roman" w:cs="Times New Roman"/>
          <w:sz w:val="28"/>
          <w:szCs w:val="30"/>
          <w:lang w:eastAsia="ru-RU"/>
        </w:rPr>
        <w:t>. интимного, характера, преследуется по статье 138 Уголовного кодекса Российской Федерации.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2686E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2024-07-30T12:32:00Z</dcterms:modified>
</cp:coreProperties>
</file>