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AD" w:rsidRDefault="00E65B0F">
      <w:pPr>
        <w:pStyle w:val="10"/>
        <w:framePr w:w="9666" w:h="705" w:hRule="exact" w:wrap="none" w:vAnchor="page" w:hAnchor="page" w:x="1348" w:y="1112"/>
        <w:shd w:val="clear" w:color="auto" w:fill="auto"/>
        <w:ind w:right="420" w:firstLine="0"/>
      </w:pPr>
      <w:bookmarkStart w:id="0" w:name="bookmark0"/>
      <w:bookmarkStart w:id="1" w:name="_GoBack"/>
      <w:bookmarkEnd w:id="1"/>
      <w:r>
        <w:t>РОССИЙСКАЯ ФЕДЕРАЦИЯ</w:t>
      </w:r>
      <w:r>
        <w:br/>
        <w:t>ИРКУТСКАЯ ОБЛАСТЬ</w:t>
      </w:r>
      <w:bookmarkEnd w:id="0"/>
    </w:p>
    <w:p w:rsidR="00256DAD" w:rsidRDefault="00AE4DB6">
      <w:pPr>
        <w:framePr w:wrap="none" w:vAnchor="page" w:hAnchor="page" w:x="5823" w:y="19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542925"/>
            <wp:effectExtent l="0" t="0" r="9525" b="9525"/>
            <wp:docPr id="1" name="Рисунок 1" descr="C:\Users\дом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AD" w:rsidRDefault="00E65B0F">
      <w:pPr>
        <w:pStyle w:val="10"/>
        <w:framePr w:w="9666" w:h="1530" w:hRule="exact" w:wrap="none" w:vAnchor="page" w:hAnchor="page" w:x="1348" w:y="2754"/>
        <w:shd w:val="clear" w:color="auto" w:fill="auto"/>
        <w:spacing w:line="367" w:lineRule="exact"/>
        <w:ind w:left="1520" w:firstLine="0"/>
        <w:jc w:val="left"/>
      </w:pPr>
      <w:bookmarkStart w:id="2" w:name="bookmark1"/>
      <w:r>
        <w:t>Контрольно-счетная палата муниципального образования</w:t>
      </w:r>
      <w:bookmarkEnd w:id="2"/>
    </w:p>
    <w:p w:rsidR="00256DAD" w:rsidRDefault="00E65B0F">
      <w:pPr>
        <w:pStyle w:val="30"/>
        <w:framePr w:w="9666" w:h="1530" w:hRule="exact" w:wrap="none" w:vAnchor="page" w:hAnchor="page" w:x="1348" w:y="2754"/>
        <w:shd w:val="clear" w:color="auto" w:fill="auto"/>
        <w:ind w:left="3400" w:right="2660" w:firstLine="580"/>
      </w:pPr>
      <w:r>
        <w:t>Балаганский район ЗАКЛЮЧЕНИЕ КСП №2-вн ПО ВНЕШНЕЙ ПРОВЕРКЕ</w:t>
      </w:r>
    </w:p>
    <w:p w:rsidR="00256DAD" w:rsidRDefault="00E65B0F">
      <w:pPr>
        <w:pStyle w:val="10"/>
        <w:framePr w:w="9666" w:h="796" w:hRule="exact" w:wrap="none" w:vAnchor="page" w:hAnchor="page" w:x="1348" w:y="4223"/>
        <w:shd w:val="clear" w:color="auto" w:fill="auto"/>
        <w:spacing w:line="371" w:lineRule="exact"/>
        <w:ind w:left="3400" w:hanging="2080"/>
        <w:jc w:val="left"/>
      </w:pPr>
      <w:bookmarkStart w:id="3" w:name="bookmark2"/>
      <w:r>
        <w:t xml:space="preserve">Отчета об </w:t>
      </w:r>
      <w:r>
        <w:t>исполнении бюджета Биритского муниципального образования за 2019 год</w:t>
      </w:r>
      <w:bookmarkEnd w:id="3"/>
    </w:p>
    <w:p w:rsidR="00256DAD" w:rsidRDefault="00E65B0F">
      <w:pPr>
        <w:pStyle w:val="20"/>
        <w:framePr w:w="9666" w:h="9896" w:hRule="exact" w:wrap="none" w:vAnchor="page" w:hAnchor="page" w:x="1348" w:y="5414"/>
        <w:shd w:val="clear" w:color="auto" w:fill="auto"/>
        <w:tabs>
          <w:tab w:val="left" w:pos="7947"/>
        </w:tabs>
        <w:spacing w:before="0" w:after="325" w:line="260" w:lineRule="exact"/>
        <w:ind w:left="200"/>
      </w:pPr>
      <w:r>
        <w:t>27 апреля 2020 года</w:t>
      </w:r>
      <w:r>
        <w:tab/>
        <w:t>п. Балаганск</w:t>
      </w:r>
    </w:p>
    <w:p w:rsidR="00256DAD" w:rsidRDefault="00E65B0F">
      <w:pPr>
        <w:pStyle w:val="20"/>
        <w:framePr w:w="9666" w:h="9896" w:hRule="exact" w:wrap="none" w:vAnchor="page" w:hAnchor="page" w:x="1348" w:y="5414"/>
        <w:shd w:val="clear" w:color="auto" w:fill="auto"/>
        <w:spacing w:before="0" w:after="0" w:line="367" w:lineRule="exact"/>
        <w:ind w:firstLine="740"/>
      </w:pPr>
      <w:r>
        <w:t xml:space="preserve">Контрольно-счетной палатой муниципального образования Балаганский район проведена внешняя проверка годового отчета об исполнении бюджета Биритского </w:t>
      </w:r>
      <w:r>
        <w:t>муниципального образования, по итогам которой подготовлено настоящее Заключение.</w:t>
      </w:r>
    </w:p>
    <w:p w:rsidR="00256DAD" w:rsidRDefault="00E65B0F">
      <w:pPr>
        <w:pStyle w:val="20"/>
        <w:framePr w:w="9666" w:h="9896" w:hRule="exact" w:wrap="none" w:vAnchor="page" w:hAnchor="page" w:x="1348" w:y="5414"/>
        <w:shd w:val="clear" w:color="auto" w:fill="auto"/>
        <w:spacing w:before="0" w:after="0" w:line="367" w:lineRule="exact"/>
        <w:ind w:firstLine="740"/>
      </w:pPr>
      <w:r>
        <w:t>В соответствии со статьей 264.4 Бюджетного кодекса Российской Федерации годовой отчет об исполнении бюджета до его рассмотрения в законодательном (представительном) органе под</w:t>
      </w:r>
      <w:r>
        <w:t>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256DAD" w:rsidRDefault="00E65B0F">
      <w:pPr>
        <w:pStyle w:val="20"/>
        <w:framePr w:w="9666" w:h="9896" w:hRule="exact" w:wrap="none" w:vAnchor="page" w:hAnchor="page" w:x="1348" w:y="5414"/>
        <w:shd w:val="clear" w:color="auto" w:fill="auto"/>
        <w:spacing w:before="0" w:after="0" w:line="367" w:lineRule="exact"/>
        <w:ind w:firstLine="740"/>
      </w:pPr>
      <w:r>
        <w:rPr>
          <w:rStyle w:val="21"/>
        </w:rPr>
        <w:t xml:space="preserve">Цель мероприятия: </w:t>
      </w:r>
      <w:r>
        <w:t>определение полноты годовой бюджетной отчетности и до</w:t>
      </w:r>
      <w:r>
        <w:t>стоверности показателей годового отчета об исполнении бюджета Биритского муниципального образования.</w:t>
      </w:r>
    </w:p>
    <w:p w:rsidR="00256DAD" w:rsidRDefault="00E65B0F">
      <w:pPr>
        <w:pStyle w:val="20"/>
        <w:framePr w:w="9666" w:h="9896" w:hRule="exact" w:wrap="none" w:vAnchor="page" w:hAnchor="page" w:x="1348" w:y="5414"/>
        <w:shd w:val="clear" w:color="auto" w:fill="auto"/>
        <w:spacing w:before="0" w:after="0" w:line="367" w:lineRule="exact"/>
        <w:ind w:firstLine="740"/>
      </w:pPr>
      <w:r>
        <w:rPr>
          <w:rStyle w:val="21"/>
        </w:rPr>
        <w:t xml:space="preserve">Предмет мероприятия: </w:t>
      </w:r>
      <w:r>
        <w:t>годовой отчет об исполнении бюджета Биритского муниципального образования за 2019 год, а также документы и материалы, подлежащие предс</w:t>
      </w:r>
      <w:r>
        <w:t>тавлению в Думу Биритского муниципального образования одновременно с годовым отчетом об исполнении бюджета Биритского муниципального образования.</w:t>
      </w:r>
    </w:p>
    <w:p w:rsidR="00256DAD" w:rsidRDefault="00E65B0F">
      <w:pPr>
        <w:pStyle w:val="20"/>
        <w:framePr w:w="9666" w:h="9896" w:hRule="exact" w:wrap="none" w:vAnchor="page" w:hAnchor="page" w:x="1348" w:y="5414"/>
        <w:shd w:val="clear" w:color="auto" w:fill="auto"/>
        <w:spacing w:before="0" w:after="300" w:line="367" w:lineRule="exact"/>
        <w:ind w:firstLine="740"/>
      </w:pPr>
      <w:r>
        <w:t>Сроки проведения проверки с 01 апреля по 27 апреля 2020 года.</w:t>
      </w:r>
    </w:p>
    <w:p w:rsidR="00256DAD" w:rsidRDefault="00E65B0F">
      <w:pPr>
        <w:pStyle w:val="10"/>
        <w:framePr w:w="9666" w:h="9896" w:hRule="exact" w:wrap="none" w:vAnchor="page" w:hAnchor="page" w:x="1348" w:y="5414"/>
        <w:numPr>
          <w:ilvl w:val="0"/>
          <w:numId w:val="1"/>
        </w:numPr>
        <w:shd w:val="clear" w:color="auto" w:fill="auto"/>
        <w:tabs>
          <w:tab w:val="left" w:pos="1510"/>
        </w:tabs>
        <w:spacing w:line="367" w:lineRule="exact"/>
        <w:ind w:left="1520" w:hanging="320"/>
        <w:jc w:val="left"/>
      </w:pPr>
      <w:bookmarkStart w:id="4" w:name="bookmark3"/>
      <w:r>
        <w:t>Соблюдение бюджетного законодательства при орган</w:t>
      </w:r>
      <w:r>
        <w:t>изации исполнения бюджета муниципального образования</w:t>
      </w:r>
      <w:bookmarkEnd w:id="4"/>
    </w:p>
    <w:p w:rsidR="00256DAD" w:rsidRDefault="00E65B0F">
      <w:pPr>
        <w:pStyle w:val="20"/>
        <w:framePr w:w="9666" w:h="9896" w:hRule="exact" w:wrap="none" w:vAnchor="page" w:hAnchor="page" w:x="1348" w:y="5414"/>
        <w:shd w:val="clear" w:color="auto" w:fill="auto"/>
        <w:spacing w:before="0" w:after="0" w:line="367" w:lineRule="exact"/>
        <w:ind w:firstLine="740"/>
      </w:pPr>
      <w:r>
        <w:t>Отчетность муниципального образования составлена в соответствии с требованиями Приказа Минфина России от 28 декабря 2010 года №191 н «Об утверждении Инструкции о порядке составления и представления годов</w:t>
      </w:r>
      <w:r>
        <w:t>ой,</w:t>
      </w:r>
    </w:p>
    <w:p w:rsidR="00256DAD" w:rsidRDefault="00E65B0F">
      <w:pPr>
        <w:pStyle w:val="23"/>
        <w:framePr w:wrap="none" w:vAnchor="page" w:hAnchor="page" w:x="10848" w:y="15524"/>
        <w:shd w:val="clear" w:color="auto" w:fill="auto"/>
        <w:spacing w:line="190" w:lineRule="exact"/>
      </w:pPr>
      <w:r>
        <w:t>1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77" w:h="14047" w:hRule="exact" w:wrap="none" w:vAnchor="page" w:hAnchor="page" w:x="1343" w:y="1069"/>
        <w:shd w:val="clear" w:color="auto" w:fill="auto"/>
        <w:spacing w:before="0" w:after="0" w:line="367" w:lineRule="exact"/>
      </w:pPr>
      <w:r>
        <w:lastRenderedPageBreak/>
        <w:t>квартальной и месячной отчетности об исполнении бюджетов бюджетной системы Российской Федерации».</w:t>
      </w:r>
    </w:p>
    <w:p w:rsidR="00256DAD" w:rsidRDefault="00E65B0F">
      <w:pPr>
        <w:pStyle w:val="20"/>
        <w:framePr w:w="9677" w:h="14047" w:hRule="exact" w:wrap="none" w:vAnchor="page" w:hAnchor="page" w:x="1343" w:y="1069"/>
        <w:shd w:val="clear" w:color="auto" w:fill="auto"/>
        <w:spacing w:before="0" w:after="0" w:line="367" w:lineRule="exact"/>
        <w:ind w:firstLine="760"/>
      </w:pPr>
      <w:r>
        <w:t xml:space="preserve">В соответствии со ст. 215.1, 217 Бюджетного кодекса РФ исполнение бюджета муниципального образования должно осуществляться па </w:t>
      </w:r>
      <w:r>
        <w:t>основе сводной бюджетной росписи. Порядок составления и ведения сводной бюджетной росписи устанавливается финансовым органом. Утвержденные показатели сводной бюджетной росписи должны соответствовать решению о бюджете.</w:t>
      </w:r>
    </w:p>
    <w:p w:rsidR="00256DAD" w:rsidRDefault="00E65B0F">
      <w:pPr>
        <w:pStyle w:val="20"/>
        <w:framePr w:w="9677" w:h="14047" w:hRule="exact" w:wrap="none" w:vAnchor="page" w:hAnchor="page" w:x="1343" w:y="1069"/>
        <w:shd w:val="clear" w:color="auto" w:fill="auto"/>
        <w:spacing w:before="0" w:after="300" w:line="367" w:lineRule="exact"/>
        <w:ind w:firstLine="760"/>
      </w:pPr>
      <w:r>
        <w:t>Утвержденные показатели сводной бюджет</w:t>
      </w:r>
      <w:r>
        <w:t>ной росписи соответствуют решению Думы от 30.12.2019г. 10-1 «О внесении изменений в решение Думы Биритского муниципального образования от 19.12.2018 г. №8-2 «О бюджете Биритского муниципального образования на 2019 год и плановый период 2020- 2021 годов».</w:t>
      </w:r>
    </w:p>
    <w:p w:rsidR="00256DAD" w:rsidRDefault="00E65B0F">
      <w:pPr>
        <w:pStyle w:val="10"/>
        <w:framePr w:w="9677" w:h="14047" w:hRule="exact" w:wrap="none" w:vAnchor="page" w:hAnchor="page" w:x="1343" w:y="1069"/>
        <w:numPr>
          <w:ilvl w:val="0"/>
          <w:numId w:val="1"/>
        </w:numPr>
        <w:shd w:val="clear" w:color="auto" w:fill="auto"/>
        <w:tabs>
          <w:tab w:val="left" w:pos="1407"/>
        </w:tabs>
        <w:spacing w:line="367" w:lineRule="exact"/>
        <w:ind w:left="1080" w:firstLine="0"/>
        <w:jc w:val="both"/>
      </w:pPr>
      <w:bookmarkStart w:id="5" w:name="bookmark4"/>
      <w:r>
        <w:t>О</w:t>
      </w:r>
      <w:r>
        <w:t>бщая характеристика исполнении бюджета муниципального</w:t>
      </w:r>
      <w:bookmarkEnd w:id="5"/>
    </w:p>
    <w:p w:rsidR="00256DAD" w:rsidRDefault="00E65B0F">
      <w:pPr>
        <w:pStyle w:val="10"/>
        <w:framePr w:w="9677" w:h="14047" w:hRule="exact" w:wrap="none" w:vAnchor="page" w:hAnchor="page" w:x="1343" w:y="1069"/>
        <w:shd w:val="clear" w:color="auto" w:fill="auto"/>
        <w:spacing w:line="367" w:lineRule="exact"/>
        <w:ind w:firstLine="0"/>
      </w:pPr>
      <w:bookmarkStart w:id="6" w:name="bookmark5"/>
      <w:r>
        <w:t>образования за 2019 год</w:t>
      </w:r>
      <w:bookmarkEnd w:id="6"/>
    </w:p>
    <w:p w:rsidR="00256DAD" w:rsidRDefault="00E65B0F">
      <w:pPr>
        <w:pStyle w:val="20"/>
        <w:framePr w:w="9677" w:h="14047" w:hRule="exact" w:wrap="none" w:vAnchor="page" w:hAnchor="page" w:x="1343" w:y="1069"/>
        <w:shd w:val="clear" w:color="auto" w:fill="auto"/>
        <w:spacing w:before="0" w:after="0" w:line="367" w:lineRule="exact"/>
        <w:ind w:firstLine="760"/>
      </w:pPr>
      <w:r>
        <w:t>Бюджет муниципального образования утвержден решением Думы №8-2 от 19.12.2018 года в первоначальной редакции по доходам в сумме 4493,61 тыс. рублей, в том числе безвозмездные пост</w:t>
      </w:r>
      <w:r>
        <w:t>упления 2925,9 тыс. рублей, и по расходам в сумме 4571,99 тыс. рублей с дефицитом в сумме 78,38 тыс. рублей, что составляет 5% общего годового объема доходов местного бюджета без учета утвержденного объема безвозмездных поступлений и (или) поступлений нало</w:t>
      </w:r>
      <w:r>
        <w:t>говых доходов по дополнительным нормативам отчислений. Утверждено создание резервного фонда на 2019 год в размере 10,0 тыс. рублей или 0,22% от общего объема расходов бюджета.</w:t>
      </w:r>
    </w:p>
    <w:p w:rsidR="00256DAD" w:rsidRDefault="00E65B0F">
      <w:pPr>
        <w:pStyle w:val="20"/>
        <w:framePr w:w="9677" w:h="14047" w:hRule="exact" w:wrap="none" w:vAnchor="page" w:hAnchor="page" w:x="1343" w:y="1069"/>
        <w:shd w:val="clear" w:color="auto" w:fill="auto"/>
        <w:spacing w:before="0" w:after="0" w:line="367" w:lineRule="exact"/>
        <w:ind w:firstLine="760"/>
      </w:pPr>
      <w:r>
        <w:t xml:space="preserve">Уточненный в последней редакции от 30.12.2019 года (Решение Думы № 10-1) бюджет </w:t>
      </w:r>
      <w:r>
        <w:t>муниципального образования по доходам утвержден в сумме 8842,24 тыс. рублей (в том числе безвозмездные поступления 7079,35 тыс. рублей), по расходам в сумме 9371,301 тыс. рублей. Дефицит местного бюджета утвержден в сумме 529,07 тыс. рублей, или 30,1% утве</w:t>
      </w:r>
      <w:r>
        <w:t>ржденного общего годового объема доходов бюджета без учета утвержденного объема безвозмездных поступлений. Превышение дефицита местного бюджета над ограничениями, установленными статьей 92.1 БК РФ, осуществлено в пределах суммы снижения остатков средств на</w:t>
      </w:r>
      <w:r>
        <w:t xml:space="preserve"> счетах по учету средств местного бюджета, в сумме 440,93 тыс. рублей.</w:t>
      </w:r>
    </w:p>
    <w:p w:rsidR="00256DAD" w:rsidRDefault="00E65B0F">
      <w:pPr>
        <w:pStyle w:val="20"/>
        <w:framePr w:w="9677" w:h="14047" w:hRule="exact" w:wrap="none" w:vAnchor="page" w:hAnchor="page" w:x="1343" w:y="1069"/>
        <w:shd w:val="clear" w:color="auto" w:fill="auto"/>
        <w:spacing w:before="0" w:after="0" w:line="367" w:lineRule="exact"/>
        <w:ind w:firstLine="760"/>
      </w:pPr>
      <w:r>
        <w:t>Пунктом 1 проекта решения об исполнении бюджета Биритского муниципального образования за 2019 год предлагается утвердить отчет об исполнении бюджета по доходам в сумме 8782.25 тыс. рубл</w:t>
      </w:r>
      <w:r>
        <w:t>ей, в том числе</w:t>
      </w:r>
    </w:p>
    <w:p w:rsidR="00256DAD" w:rsidRDefault="00E65B0F">
      <w:pPr>
        <w:pStyle w:val="a5"/>
        <w:framePr w:wrap="none" w:vAnchor="page" w:hAnchor="page" w:x="10836" w:y="15517"/>
        <w:shd w:val="clear" w:color="auto" w:fill="auto"/>
        <w:spacing w:line="200" w:lineRule="exact"/>
      </w:pPr>
      <w:r>
        <w:t>2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73" w:h="1930" w:hRule="exact" w:wrap="none" w:vAnchor="page" w:hAnchor="page" w:x="1420" w:y="954"/>
        <w:shd w:val="clear" w:color="auto" w:fill="auto"/>
        <w:spacing w:before="0" w:after="0" w:line="371" w:lineRule="exact"/>
      </w:pPr>
      <w:r>
        <w:lastRenderedPageBreak/>
        <w:t>безвозмездных поступлений 7078,69 тыс. рублей, по расходам в сумме 7536,52 тыс. рублей, размер дефицита в сумме 1245,72 тыс. рублей.</w:t>
      </w:r>
    </w:p>
    <w:p w:rsidR="00256DAD" w:rsidRDefault="00E65B0F">
      <w:pPr>
        <w:pStyle w:val="20"/>
        <w:framePr w:w="9673" w:h="1930" w:hRule="exact" w:wrap="none" w:vAnchor="page" w:hAnchor="page" w:x="1420" w:y="954"/>
        <w:shd w:val="clear" w:color="auto" w:fill="auto"/>
        <w:spacing w:before="0" w:after="0" w:line="371" w:lineRule="exact"/>
        <w:ind w:firstLine="740"/>
      </w:pPr>
      <w:r>
        <w:t xml:space="preserve">Исполнение бюджета муниципального образования в 2019 году в целом, изменение </w:t>
      </w:r>
      <w:r>
        <w:t>плановых показателей в первоначальной и окончательной редакции представлено в таблице №1.</w:t>
      </w:r>
    </w:p>
    <w:p w:rsidR="00256DAD" w:rsidRDefault="00E65B0F">
      <w:pPr>
        <w:pStyle w:val="a7"/>
        <w:framePr w:wrap="none" w:vAnchor="page" w:hAnchor="page" w:x="8818" w:y="2878"/>
        <w:shd w:val="clear" w:color="auto" w:fill="auto"/>
        <w:spacing w:line="190" w:lineRule="exact"/>
      </w:pPr>
      <w:r>
        <w:t>Таблица №1 (тыс. 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48"/>
        <w:gridCol w:w="965"/>
        <w:gridCol w:w="954"/>
        <w:gridCol w:w="1058"/>
        <w:gridCol w:w="1051"/>
        <w:gridCol w:w="1062"/>
        <w:gridCol w:w="1058"/>
        <w:gridCol w:w="1055"/>
      </w:tblGrid>
      <w:tr w:rsidR="00256DAD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210pt"/>
              </w:rPr>
              <w:t>Наименование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статей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Факт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исполнения 2018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Решение Думы от 19.12.18 8-2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Решение Думы от 30.12.19г. 10-1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5" w:lineRule="exact"/>
              <w:jc w:val="right"/>
            </w:pPr>
            <w:r>
              <w:rPr>
                <w:rStyle w:val="210pt"/>
              </w:rPr>
              <w:t>Отклонение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5" w:lineRule="exact"/>
              <w:jc w:val="center"/>
            </w:pPr>
            <w:r>
              <w:rPr>
                <w:rStyle w:val="210pt"/>
              </w:rPr>
              <w:t>между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5" w:lineRule="exact"/>
              <w:jc w:val="right"/>
            </w:pPr>
            <w:r>
              <w:rPr>
                <w:rStyle w:val="210pt"/>
              </w:rPr>
              <w:t>решениями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Факт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исполнения 2019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60" w:line="200" w:lineRule="exact"/>
              <w:jc w:val="right"/>
            </w:pPr>
            <w:r>
              <w:rPr>
                <w:rStyle w:val="210pt"/>
              </w:rPr>
              <w:t>Отклонение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210pt"/>
              </w:rPr>
              <w:t>2019-2018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12" w:lineRule="exact"/>
            </w:pPr>
            <w:r>
              <w:rPr>
                <w:rStyle w:val="210pt"/>
              </w:rPr>
              <w:t>Отклонение от бюджета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%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right"/>
            </w:pPr>
            <w:r>
              <w:rPr>
                <w:rStyle w:val="210pt"/>
              </w:rPr>
              <w:t>исполнения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бюджета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5=4-3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 = 6-2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 = 6-4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9 = 6/4*100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Всего доходов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7023,2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ind w:right="140"/>
              <w:jc w:val="right"/>
            </w:pPr>
            <w:r>
              <w:rPr>
                <w:rStyle w:val="210pt"/>
              </w:rPr>
              <w:t>4493.61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8842,24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4348.63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8782,25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1759,05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-59,99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99.3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 том числе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605" w:h="3766" w:wrap="none" w:vAnchor="page" w:hAnchor="page" w:x="1470" w:y="3130"/>
              <w:rPr>
                <w:sz w:val="10"/>
                <w:szCs w:val="10"/>
              </w:rPr>
            </w:pP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210pt"/>
              </w:rPr>
              <w:t>налоговые и неналоговые доходы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1617,0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ind w:right="140"/>
              <w:jc w:val="right"/>
            </w:pPr>
            <w:r>
              <w:rPr>
                <w:rStyle w:val="210pt"/>
              </w:rPr>
              <w:t>1567.71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1762.85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195.14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1703.56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86,56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-59.29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96.6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безвозмездные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120" w:after="0" w:line="200" w:lineRule="exact"/>
              <w:jc w:val="left"/>
            </w:pPr>
            <w:r>
              <w:rPr>
                <w:rStyle w:val="210pt"/>
              </w:rPr>
              <w:t>поступления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5406.2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ind w:right="140"/>
              <w:jc w:val="right"/>
            </w:pPr>
            <w:r>
              <w:rPr>
                <w:rStyle w:val="210pt"/>
              </w:rPr>
              <w:t>2925.9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7079.39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4153.49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7078.69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1672.49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-0.7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99.9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Всего</w:t>
            </w:r>
          </w:p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120" w:after="0" w:line="200" w:lineRule="exact"/>
              <w:jc w:val="left"/>
            </w:pPr>
            <w:r>
              <w:rPr>
                <w:rStyle w:val="210pt"/>
              </w:rPr>
              <w:t>расходов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7225,8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ind w:right="140"/>
              <w:jc w:val="right"/>
            </w:pPr>
            <w:r>
              <w:rPr>
                <w:rStyle w:val="210pt"/>
              </w:rPr>
              <w:t>4571,99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9371,31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4799.32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7536.52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310,72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-1834.79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80.4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210pt"/>
              </w:rPr>
              <w:t>Дефицит (-) Профицит (+)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-202,6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ind w:right="140"/>
              <w:jc w:val="right"/>
            </w:pPr>
            <w:r>
              <w:rPr>
                <w:rStyle w:val="210pt"/>
              </w:rPr>
              <w:t>-78,38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-529,07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-450,69 1245,72 | 1448,33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1774,79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05" w:h="3766" w:wrap="none" w:vAnchor="page" w:hAnchor="page" w:x="1470" w:y="313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X</w:t>
            </w:r>
          </w:p>
        </w:tc>
      </w:tr>
    </w:tbl>
    <w:p w:rsidR="00256DAD" w:rsidRDefault="00E65B0F">
      <w:pPr>
        <w:pStyle w:val="20"/>
        <w:framePr w:w="9673" w:h="8513" w:hRule="exact" w:wrap="none" w:vAnchor="page" w:hAnchor="page" w:x="1420" w:y="6818"/>
        <w:shd w:val="clear" w:color="auto" w:fill="auto"/>
        <w:spacing w:before="0" w:after="0" w:line="367" w:lineRule="exact"/>
        <w:ind w:firstLine="740"/>
      </w:pPr>
      <w:r>
        <w:t xml:space="preserve">Увеличение плановых бюджетных назначений по сравнению с первоначальной редакцией решения о бюджете на 2019 год (редакция от 19.12.2018 года) в течение 2019 года составило: по доходам на 4348,63 тыс. рублей, в </w:t>
      </w:r>
      <w:r>
        <w:t>том числе налоговых и неналоговых доходов - на 195,14 тыс. рублей, безвозмездных поступлений - на 4153,49 тыс. рублей. Расходы местного бюджета по сравнению с первоначальной редакцией увеличены на 4799,32 тыс. рублей.</w:t>
      </w:r>
    </w:p>
    <w:p w:rsidR="00256DAD" w:rsidRDefault="00E65B0F">
      <w:pPr>
        <w:pStyle w:val="20"/>
        <w:framePr w:w="9673" w:h="8513" w:hRule="exact" w:wrap="none" w:vAnchor="page" w:hAnchor="page" w:x="1420" w:y="6818"/>
        <w:shd w:val="clear" w:color="auto" w:fill="auto"/>
        <w:spacing w:before="0" w:after="0" w:line="367" w:lineRule="exact"/>
        <w:ind w:firstLine="740"/>
      </w:pPr>
      <w:r>
        <w:t>Доходы местного бюджета исполнены в су</w:t>
      </w:r>
      <w:r>
        <w:t>мме 8782,25 тыс. рублей, или 99,3% к уточненному плану.</w:t>
      </w:r>
    </w:p>
    <w:p w:rsidR="00256DAD" w:rsidRDefault="00E65B0F">
      <w:pPr>
        <w:pStyle w:val="20"/>
        <w:framePr w:w="9673" w:h="8513" w:hRule="exact" w:wrap="none" w:vAnchor="page" w:hAnchor="page" w:x="1420" w:y="6818"/>
        <w:shd w:val="clear" w:color="auto" w:fill="auto"/>
        <w:spacing w:before="0" w:after="0" w:line="367" w:lineRule="exact"/>
        <w:ind w:firstLine="740"/>
      </w:pPr>
      <w:r>
        <w:t>Расходы местного бюджета исполнены в сумме 7536,52 тыс. рублей, что меньше уточненных плановых значений на 1834,79 тыс. рублей.</w:t>
      </w:r>
    </w:p>
    <w:p w:rsidR="00256DAD" w:rsidRDefault="00E65B0F">
      <w:pPr>
        <w:pStyle w:val="20"/>
        <w:framePr w:w="9673" w:h="8513" w:hRule="exact" w:wrap="none" w:vAnchor="page" w:hAnchor="page" w:x="1420" w:y="6818"/>
        <w:shd w:val="clear" w:color="auto" w:fill="auto"/>
        <w:spacing w:before="0" w:after="0" w:line="367" w:lineRule="exact"/>
        <w:ind w:firstLine="740"/>
      </w:pPr>
      <w:r>
        <w:t>Всего по сравнению с 2018 годом доходы увеличились на 1759,05 тыс. рубле</w:t>
      </w:r>
      <w:r>
        <w:t>й за счет увеличения суммы безвозмездных поступлений муниципального образования на 1672,49 тыс. рублей, и налоговых и неналоговых доходов на 86,56 тыс. рублей.</w:t>
      </w:r>
    </w:p>
    <w:p w:rsidR="00256DAD" w:rsidRDefault="00E65B0F">
      <w:pPr>
        <w:pStyle w:val="20"/>
        <w:framePr w:w="9673" w:h="8513" w:hRule="exact" w:wrap="none" w:vAnchor="page" w:hAnchor="page" w:x="1420" w:y="6818"/>
        <w:shd w:val="clear" w:color="auto" w:fill="auto"/>
        <w:spacing w:before="0" w:after="0" w:line="367" w:lineRule="exact"/>
        <w:ind w:firstLine="740"/>
      </w:pPr>
      <w:r>
        <w:t>Расходы бюджета в 2019 году на 310,72 тыс. рублей больше показателей 2018 года.</w:t>
      </w:r>
    </w:p>
    <w:p w:rsidR="00256DAD" w:rsidRDefault="00E65B0F">
      <w:pPr>
        <w:pStyle w:val="20"/>
        <w:framePr w:w="9673" w:h="8513" w:hRule="exact" w:wrap="none" w:vAnchor="page" w:hAnchor="page" w:x="1420" w:y="6818"/>
        <w:shd w:val="clear" w:color="auto" w:fill="auto"/>
        <w:spacing w:before="0" w:after="306" w:line="367" w:lineRule="exact"/>
        <w:ind w:firstLine="740"/>
      </w:pPr>
      <w:r>
        <w:t>Профицит местног</w:t>
      </w:r>
      <w:r>
        <w:t>о бюджета составил 1245,72 тыс. рублей.</w:t>
      </w:r>
    </w:p>
    <w:p w:rsidR="00256DAD" w:rsidRDefault="00E65B0F">
      <w:pPr>
        <w:pStyle w:val="10"/>
        <w:framePr w:w="9673" w:h="8513" w:hRule="exact" w:wrap="none" w:vAnchor="page" w:hAnchor="page" w:x="1420" w:y="6818"/>
        <w:numPr>
          <w:ilvl w:val="0"/>
          <w:numId w:val="1"/>
        </w:numPr>
        <w:shd w:val="clear" w:color="auto" w:fill="auto"/>
        <w:tabs>
          <w:tab w:val="left" w:pos="2536"/>
        </w:tabs>
        <w:spacing w:line="360" w:lineRule="exact"/>
        <w:ind w:left="2200" w:firstLine="0"/>
        <w:jc w:val="both"/>
      </w:pPr>
      <w:bookmarkStart w:id="7" w:name="bookmark6"/>
      <w:r>
        <w:t>Анализ исполнение доходной части бюджета</w:t>
      </w:r>
      <w:bookmarkEnd w:id="7"/>
    </w:p>
    <w:p w:rsidR="00256DAD" w:rsidRDefault="00E65B0F">
      <w:pPr>
        <w:pStyle w:val="20"/>
        <w:framePr w:w="9673" w:h="8513" w:hRule="exact" w:wrap="none" w:vAnchor="page" w:hAnchor="page" w:x="1420" w:y="6818"/>
        <w:shd w:val="clear" w:color="auto" w:fill="auto"/>
        <w:spacing w:before="0" w:after="0" w:line="360" w:lineRule="exact"/>
        <w:ind w:firstLine="740"/>
      </w:pPr>
      <w:r>
        <w:t>В первоначальной версии бюджета (решение Ду мы от 19.12.18 года №8-2) общий объем доходов предусматривался в сумме 4493,61 гыс. рублей, в том числе безвозмездные поступления в</w:t>
      </w:r>
      <w:r>
        <w:t xml:space="preserve"> сумме 2925,9 тыс. рублей; налоговые и</w:t>
      </w:r>
    </w:p>
    <w:p w:rsidR="00256DAD" w:rsidRDefault="00E65B0F">
      <w:pPr>
        <w:pStyle w:val="40"/>
        <w:framePr w:w="9673" w:h="361" w:hRule="exact" w:wrap="none" w:vAnchor="page" w:hAnchor="page" w:x="1420" w:y="15335"/>
        <w:shd w:val="clear" w:color="auto" w:fill="auto"/>
        <w:spacing w:line="300" w:lineRule="exact"/>
      </w:pPr>
      <w:r>
        <w:t>з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10051" w:h="6686" w:hRule="exact" w:wrap="none" w:vAnchor="page" w:hAnchor="page" w:x="1231" w:y="1219"/>
        <w:shd w:val="clear" w:color="auto" w:fill="auto"/>
        <w:spacing w:before="0" w:after="0" w:line="367" w:lineRule="exact"/>
        <w:ind w:right="420"/>
      </w:pPr>
      <w:r>
        <w:t>неналоговые доходы в сумме 1567,71 тыс. рублей. В последней версии бюджета (решение Думы от 30.12.19 года) сумма доходов выросла на 4348,63 тыс. рублей, или на 96,8%, в основном за счет увеличе</w:t>
      </w:r>
      <w:r>
        <w:t>ния суммы безвозмездных поступлений. Также увеличена сумма налоговых и неналоговых доходов на 195,14 тыс. рублей, что составляет 12,4% от суммы первоначального плана.</w:t>
      </w:r>
    </w:p>
    <w:p w:rsidR="00256DAD" w:rsidRDefault="00E65B0F">
      <w:pPr>
        <w:pStyle w:val="20"/>
        <w:framePr w:w="10051" w:h="6686" w:hRule="exact" w:wrap="none" w:vAnchor="page" w:hAnchor="page" w:x="1231" w:y="1219"/>
        <w:shd w:val="clear" w:color="auto" w:fill="auto"/>
        <w:spacing w:before="0" w:after="0" w:line="367" w:lineRule="exact"/>
        <w:ind w:right="420" w:firstLine="740"/>
      </w:pPr>
      <w:r>
        <w:t>Доходы бюджета в отчетном периоде по сравнению с 2018 годом увеличились на 1759,1 тыс. ру</w:t>
      </w:r>
      <w:r>
        <w:t>блей, или на 25%. Увеличение суммы доходов произошло за счет увеличения суммы безвозмездных поступлений на 1672,49 тыс. рублей и увеличения налоговых и неналоговых поступлений на 86,56 тыс. рублей.</w:t>
      </w:r>
    </w:p>
    <w:p w:rsidR="00256DAD" w:rsidRDefault="00E65B0F">
      <w:pPr>
        <w:pStyle w:val="20"/>
        <w:framePr w:w="10051" w:h="6686" w:hRule="exact" w:wrap="none" w:vAnchor="page" w:hAnchor="page" w:x="1231" w:y="1219"/>
        <w:shd w:val="clear" w:color="auto" w:fill="auto"/>
        <w:spacing w:before="0" w:after="0" w:line="367" w:lineRule="exact"/>
        <w:ind w:right="420" w:firstLine="740"/>
      </w:pPr>
      <w:r>
        <w:t xml:space="preserve">Доходы бюджета муниципального образования по состоянию на </w:t>
      </w:r>
      <w:r>
        <w:t>01.01.2020 года (ф. 0503317) утверждены в сумме 8842,2 тыс. рублей, исполнены в сумме 8782,2 тыс. рублей, или 99,3 % к уточненному плану.</w:t>
      </w:r>
    </w:p>
    <w:p w:rsidR="00256DAD" w:rsidRDefault="00E65B0F">
      <w:pPr>
        <w:pStyle w:val="20"/>
        <w:framePr w:w="10051" w:h="6686" w:hRule="exact" w:wrap="none" w:vAnchor="page" w:hAnchor="page" w:x="1231" w:y="1219"/>
        <w:shd w:val="clear" w:color="auto" w:fill="auto"/>
        <w:spacing w:before="0" w:after="0" w:line="367" w:lineRule="exact"/>
        <w:ind w:right="420" w:firstLine="740"/>
      </w:pPr>
      <w:r>
        <w:t>Анализ показал, что налоговые доходы исполнены в сумме 1655,24 тыс. рублей, или на 96,5 % к плановым назначениям, утве</w:t>
      </w:r>
      <w:r>
        <w:t>ржденным решением Думы №10-1 от 30.12.19 г. Плановые назначения исполнены по всем статьям.</w:t>
      </w:r>
    </w:p>
    <w:p w:rsidR="00256DAD" w:rsidRDefault="00E65B0F">
      <w:pPr>
        <w:pStyle w:val="20"/>
        <w:framePr w:w="10051" w:h="6686" w:hRule="exact" w:wrap="none" w:vAnchor="page" w:hAnchor="page" w:x="1231" w:y="1219"/>
        <w:shd w:val="clear" w:color="auto" w:fill="auto"/>
        <w:spacing w:before="0" w:after="0" w:line="367" w:lineRule="exact"/>
        <w:ind w:right="420" w:firstLine="740"/>
      </w:pPr>
      <w:r>
        <w:t>Исполнение доходной части бюджета муниципального образования за 2019 год в разрезе видов доходов отражено в таблице №2.</w:t>
      </w:r>
    </w:p>
    <w:p w:rsidR="00256DAD" w:rsidRDefault="00E65B0F">
      <w:pPr>
        <w:pStyle w:val="a7"/>
        <w:framePr w:wrap="none" w:vAnchor="page" w:hAnchor="page" w:x="8607" w:y="7920"/>
        <w:shd w:val="clear" w:color="auto" w:fill="auto"/>
        <w:spacing w:line="190" w:lineRule="exact"/>
      </w:pPr>
      <w:r>
        <w:t>Таблица №2 (тыс. рублем)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1289"/>
        <w:gridCol w:w="1595"/>
        <w:gridCol w:w="1692"/>
        <w:gridCol w:w="1418"/>
        <w:gridCol w:w="1447"/>
      </w:tblGrid>
      <w:tr w:rsidR="00256DA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51" w:h="7384" w:wrap="none" w:vAnchor="page" w:hAnchor="page" w:x="1231" w:y="8177"/>
              <w:rPr>
                <w:sz w:val="10"/>
                <w:szCs w:val="1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95pt"/>
              </w:rPr>
              <w:t>Факт</w:t>
            </w:r>
          </w:p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95pt"/>
              </w:rPr>
              <w:t xml:space="preserve">исполнения </w:t>
            </w:r>
            <w:r>
              <w:rPr>
                <w:rStyle w:val="295pt"/>
              </w:rPr>
              <w:t>2018 года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Утверждено на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95pt"/>
              </w:rPr>
              <w:t>Факт</w:t>
            </w:r>
          </w:p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95pt"/>
              </w:rPr>
              <w:t xml:space="preserve">исполнения 2019 </w:t>
            </w:r>
            <w:r>
              <w:rPr>
                <w:rStyle w:val="2Arial6pt"/>
              </w:rPr>
              <w:t>1</w:t>
            </w:r>
            <w:r>
              <w:rPr>
                <w:rStyle w:val="295pt"/>
              </w:rPr>
              <w:t xml:space="preserve"> 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51" w:h="7384" w:wrap="none" w:vAnchor="page" w:hAnchor="page" w:x="1231" w:y="8177"/>
              <w:rPr>
                <w:sz w:val="10"/>
                <w:szCs w:val="10"/>
              </w:rPr>
            </w:pP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2610" w:type="dxa"/>
            <w:tcBorders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Наименование статен</w:t>
            </w: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10051" w:h="7384" w:wrap="none" w:vAnchor="page" w:hAnchor="page" w:x="1231" w:y="8177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41" w:lineRule="exact"/>
              <w:ind w:left="260" w:hanging="80"/>
              <w:jc w:val="left"/>
            </w:pPr>
            <w:r>
              <w:rPr>
                <w:rStyle w:val="295pt"/>
              </w:rPr>
              <w:t xml:space="preserve">Первоначальн </w:t>
            </w:r>
            <w:r>
              <w:rPr>
                <w:rStyle w:val="2Arial75pt"/>
              </w:rPr>
              <w:t>ая редакция от 19.12.18г. 8-2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41" w:lineRule="exact"/>
              <w:jc w:val="center"/>
            </w:pPr>
            <w:r>
              <w:rPr>
                <w:rStyle w:val="295pt"/>
              </w:rPr>
              <w:t xml:space="preserve">Окончательная </w:t>
            </w:r>
            <w:r>
              <w:rPr>
                <w:rStyle w:val="2Arial75pt"/>
              </w:rPr>
              <w:t>редакция от 30.12.19г. 10-1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10051" w:h="7384" w:wrap="none" w:vAnchor="page" w:hAnchor="page" w:x="1231" w:y="8177"/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%</w:t>
            </w:r>
          </w:p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Arial75pt"/>
              </w:rPr>
              <w:t>исполнения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51" w:h="7384" w:wrap="none" w:vAnchor="page" w:hAnchor="page" w:x="1231" w:y="8177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Налоговые и</w:t>
            </w:r>
          </w:p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неналоговые поступления всего: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1617,0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1567,71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1762,85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1703,56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96,6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Налоговые доходы: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1454,0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1555,71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1714,51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1655,24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96,5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НДФЛ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171,9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177,00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207,4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>Единый</w:t>
            </w:r>
          </w:p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>сельскохозяйственный</w:t>
            </w:r>
          </w:p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>налог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2.6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51" w:h="7384" w:wrap="none" w:vAnchor="page" w:hAnchor="page" w:x="1231" w:y="8177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-56,03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51" w:h="7384" w:wrap="none" w:vAnchor="page" w:hAnchor="page" w:x="1231" w:y="8177"/>
              <w:rPr>
                <w:sz w:val="10"/>
                <w:szCs w:val="10"/>
              </w:rPr>
            </w:pP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Налог на товары (работы, услуги), реализуемые на территории 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825,7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916,71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1027.81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1024,31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99,7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95pt"/>
              </w:rPr>
              <w:t>Налог на имущество физ. Лиц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446,2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455,00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473,89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474,13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295pt"/>
              </w:rPr>
              <w:t>-налог на имущество физических лиц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Земельный налог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435.3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452.3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100.0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Государственная пошлина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Неналоговые </w:t>
            </w:r>
            <w:r>
              <w:rPr>
                <w:rStyle w:val="295pt"/>
              </w:rPr>
              <w:t>доходы: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163,0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48,32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Доходы от продажи материальных и нематериальных активов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22,92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51" w:h="7384" w:wrap="none" w:vAnchor="page" w:hAnchor="page" w:x="1231" w:y="817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</w:tbl>
    <w:p w:rsidR="00256DAD" w:rsidRDefault="00E65B0F">
      <w:pPr>
        <w:pStyle w:val="32"/>
        <w:framePr w:wrap="none" w:vAnchor="page" w:hAnchor="page" w:x="10702" w:y="15693"/>
        <w:shd w:val="clear" w:color="auto" w:fill="auto"/>
        <w:spacing w:line="190" w:lineRule="exact"/>
      </w:pPr>
      <w:r>
        <w:t>4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1292"/>
        <w:gridCol w:w="1595"/>
        <w:gridCol w:w="1692"/>
        <w:gridCol w:w="1415"/>
        <w:gridCol w:w="1418"/>
      </w:tblGrid>
      <w:tr w:rsidR="00256DA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Штрафы, </w:t>
            </w:r>
            <w:r>
              <w:rPr>
                <w:rStyle w:val="295pt"/>
              </w:rPr>
              <w:t>санкции, возмещение ущерба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08" w:h="2498" w:wrap="none" w:vAnchor="page" w:hAnchor="page" w:x="1348" w:y="1108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Безвозмездные поступления всего: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5406,2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2925,90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7079,39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7078,69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Дотации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3843,9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2776.50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5898.39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5898.39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100.0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Субсидии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1430,2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1028,8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Субвенции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102.1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149.40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152,2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99.5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 xml:space="preserve">Прочие </w:t>
            </w:r>
            <w:r>
              <w:rPr>
                <w:rStyle w:val="295pt"/>
              </w:rPr>
              <w:t>безвозмездные поступления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08" w:h="2498" w:wrap="none" w:vAnchor="page" w:hAnchor="page" w:x="1348" w:y="1108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08" w:h="2498" w:wrap="none" w:vAnchor="page" w:hAnchor="page" w:x="1348" w:y="1108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08" w:h="2498" w:wrap="none" w:vAnchor="page" w:hAnchor="page" w:x="1348" w:y="1108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256DAD">
            <w:pPr>
              <w:framePr w:w="10008" w:h="2498" w:wrap="none" w:vAnchor="page" w:hAnchor="page" w:x="1348" w:y="1108"/>
              <w:rPr>
                <w:sz w:val="10"/>
                <w:szCs w:val="10"/>
              </w:rPr>
            </w:pP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ИТОГО ДОХОДЫ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7023,2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4493,61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8842,24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8782,25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10008" w:h="2498" w:wrap="none" w:vAnchor="page" w:hAnchor="page" w:x="1348" w:y="11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99,3</w:t>
            </w:r>
          </w:p>
        </w:tc>
      </w:tr>
    </w:tbl>
    <w:p w:rsidR="00256DAD" w:rsidRDefault="00E65B0F">
      <w:pPr>
        <w:pStyle w:val="20"/>
        <w:framePr w:w="10058" w:h="11941" w:hRule="exact" w:wrap="none" w:vAnchor="page" w:hAnchor="page" w:x="1298" w:y="3529"/>
        <w:shd w:val="clear" w:color="auto" w:fill="auto"/>
        <w:spacing w:before="0" w:after="0" w:line="367" w:lineRule="exact"/>
        <w:ind w:right="440" w:firstLine="740"/>
      </w:pPr>
      <w:r>
        <w:t xml:space="preserve">Наибольший удельный вес в структуре налоговых доходов бюджета Биритского муниципального образования в 2019 году составили: налог на товары (работы, услуги), реализуемые </w:t>
      </w:r>
      <w:r>
        <w:t>на территории РФ - 61,9%, земельный налог - 27,3% и НДФЛ - 12,5%.</w:t>
      </w:r>
    </w:p>
    <w:p w:rsidR="00256DAD" w:rsidRDefault="00E65B0F">
      <w:pPr>
        <w:pStyle w:val="20"/>
        <w:framePr w:w="10058" w:h="11941" w:hRule="exact" w:wrap="none" w:vAnchor="page" w:hAnchor="page" w:x="1298" w:y="3529"/>
        <w:shd w:val="clear" w:color="auto" w:fill="auto"/>
        <w:spacing w:before="0" w:after="0" w:line="367" w:lineRule="exact"/>
        <w:ind w:right="440" w:firstLine="740"/>
      </w:pPr>
      <w:r>
        <w:t>Доходы бюджета Биритского муниципального образования по группе «Безвозмездные поступления» по состоянию на 01.01.2020 года исполнены в сумме 7078,69 тыс. рублей, или 100 % к плану. Исполнени</w:t>
      </w:r>
      <w:r>
        <w:t>е в разрезе безвозмездных поступлений составило:</w:t>
      </w:r>
    </w:p>
    <w:p w:rsidR="00256DAD" w:rsidRDefault="00E65B0F">
      <w:pPr>
        <w:pStyle w:val="20"/>
        <w:framePr w:w="10058" w:h="11941" w:hRule="exact" w:wrap="none" w:vAnchor="page" w:hAnchor="page" w:x="1298" w:y="3529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67" w:lineRule="exact"/>
        <w:ind w:firstLine="740"/>
      </w:pPr>
      <w:r>
        <w:t>дотации - 5898,39 тыс. рублей или 100% от плановых назначений;</w:t>
      </w:r>
    </w:p>
    <w:p w:rsidR="00256DAD" w:rsidRDefault="00E65B0F">
      <w:pPr>
        <w:pStyle w:val="20"/>
        <w:framePr w:w="10058" w:h="11941" w:hRule="exact" w:wrap="none" w:vAnchor="page" w:hAnchor="page" w:x="1298" w:y="3529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67" w:lineRule="exact"/>
        <w:ind w:firstLine="740"/>
      </w:pPr>
      <w:r>
        <w:t>субсидии - 1028,8 тыс. рублей, или 100 % от плановых назначений;</w:t>
      </w:r>
    </w:p>
    <w:p w:rsidR="00256DAD" w:rsidRDefault="00E65B0F">
      <w:pPr>
        <w:pStyle w:val="20"/>
        <w:framePr w:w="10058" w:h="11941" w:hRule="exact" w:wrap="none" w:vAnchor="page" w:hAnchor="page" w:x="1298" w:y="3529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67" w:lineRule="exact"/>
        <w:ind w:firstLine="740"/>
      </w:pPr>
      <w:r>
        <w:t>субвенции - 151,5 тыс. рублей, или 99,5% от плановых назначений.</w:t>
      </w:r>
    </w:p>
    <w:p w:rsidR="00256DAD" w:rsidRDefault="00E65B0F">
      <w:pPr>
        <w:pStyle w:val="20"/>
        <w:framePr w:w="10058" w:h="11941" w:hRule="exact" w:wrap="none" w:vAnchor="page" w:hAnchor="page" w:x="1298" w:y="3529"/>
        <w:shd w:val="clear" w:color="auto" w:fill="auto"/>
        <w:spacing w:before="0" w:after="0" w:line="367" w:lineRule="exact"/>
        <w:ind w:firstLine="740"/>
      </w:pPr>
      <w:r>
        <w:t>Поступление да</w:t>
      </w:r>
      <w:r>
        <w:t>нной группы доходов по сравнению с 2018 годом</w:t>
      </w:r>
    </w:p>
    <w:p w:rsidR="00256DAD" w:rsidRDefault="00E65B0F">
      <w:pPr>
        <w:pStyle w:val="20"/>
        <w:framePr w:w="10058" w:h="11941" w:hRule="exact" w:wrap="none" w:vAnchor="page" w:hAnchor="page" w:x="1298" w:y="3529"/>
        <w:shd w:val="clear" w:color="auto" w:fill="auto"/>
        <w:spacing w:before="0" w:after="312" w:line="367" w:lineRule="exact"/>
        <w:jc w:val="left"/>
      </w:pPr>
      <w:r>
        <w:t>увеличилось на 1672,49 тыс. рублей, или на 30,9%.</w:t>
      </w:r>
    </w:p>
    <w:p w:rsidR="00256DAD" w:rsidRDefault="00E65B0F">
      <w:pPr>
        <w:pStyle w:val="10"/>
        <w:framePr w:w="10058" w:h="11941" w:hRule="exact" w:wrap="none" w:vAnchor="page" w:hAnchor="page" w:x="1298" w:y="3529"/>
        <w:numPr>
          <w:ilvl w:val="0"/>
          <w:numId w:val="1"/>
        </w:numPr>
        <w:shd w:val="clear" w:color="auto" w:fill="auto"/>
        <w:tabs>
          <w:tab w:val="left" w:pos="2207"/>
        </w:tabs>
        <w:spacing w:line="353" w:lineRule="exact"/>
        <w:ind w:left="1880" w:firstLine="0"/>
        <w:jc w:val="both"/>
      </w:pPr>
      <w:bookmarkStart w:id="8" w:name="bookmark7"/>
      <w:r>
        <w:t>Исполнение расходной части бюджета за 2019 год.</w:t>
      </w:r>
      <w:bookmarkEnd w:id="8"/>
    </w:p>
    <w:p w:rsidR="00256DAD" w:rsidRDefault="00E65B0F">
      <w:pPr>
        <w:pStyle w:val="20"/>
        <w:framePr w:w="10058" w:h="11941" w:hRule="exact" w:wrap="none" w:vAnchor="page" w:hAnchor="page" w:x="1298" w:y="3529"/>
        <w:shd w:val="clear" w:color="auto" w:fill="auto"/>
        <w:spacing w:before="0" w:after="0" w:line="353" w:lineRule="exact"/>
        <w:ind w:right="440" w:firstLine="740"/>
      </w:pPr>
      <w:r>
        <w:t xml:space="preserve">В первоначальной редакции (решение Думы №8-2 от 19.12.2018 года) расходы бюджета Биритского муниципального </w:t>
      </w:r>
      <w:r>
        <w:t>образования были утверждены в сумме 4572,0 тыс. рублей и в процессе исполнения были увеличены на 4799,3 тыс. рублей, или на 105%. Увеличение объема расходов связано с тем, что доходы по группе «Безвозмездные поступления» корректировались в течение финансов</w:t>
      </w:r>
      <w:r>
        <w:t>ого года по мере увеличения финансирования и в соответствии с дополнительными поступлениями менялась расходная часть бюджета.</w:t>
      </w:r>
    </w:p>
    <w:p w:rsidR="00256DAD" w:rsidRDefault="00E65B0F">
      <w:pPr>
        <w:pStyle w:val="20"/>
        <w:framePr w:w="10058" w:h="11941" w:hRule="exact" w:wrap="none" w:vAnchor="page" w:hAnchor="page" w:x="1298" w:y="3529"/>
        <w:shd w:val="clear" w:color="auto" w:fill="auto"/>
        <w:spacing w:before="0" w:after="0" w:line="353" w:lineRule="exact"/>
        <w:ind w:right="440" w:firstLine="740"/>
      </w:pPr>
      <w:r>
        <w:t>В последней редакции бюджета Биритского муниципального образования на 2019 год (Решение Думы от 30.12.2019 года №10-1) объем расхо</w:t>
      </w:r>
      <w:r>
        <w:t>дов утвержден в сумме 9371,3 тыс. рублей. В 2019 году в соответствии с отчетом «Об исполнении бюджета» (ф. 0503317) расходы исполнены в сумме 7536,5 тыс. рублей или на 80,4% от утвержденных назначений. Объем неисполненных расходов составил 1834,8 тыс. рубл</w:t>
      </w:r>
      <w:r>
        <w:t>ей или 19,6%.</w:t>
      </w:r>
    </w:p>
    <w:p w:rsidR="00256DAD" w:rsidRDefault="00E65B0F">
      <w:pPr>
        <w:pStyle w:val="20"/>
        <w:framePr w:w="10058" w:h="11941" w:hRule="exact" w:wrap="none" w:vAnchor="page" w:hAnchor="page" w:x="1298" w:y="3529"/>
        <w:shd w:val="clear" w:color="auto" w:fill="auto"/>
        <w:spacing w:before="0" w:after="0" w:line="353" w:lineRule="exact"/>
        <w:ind w:right="440" w:firstLine="740"/>
      </w:pPr>
      <w:r>
        <w:t xml:space="preserve">Структура расходов бюджета Биритского муниципального образования в сравнении с 2018 годом изменилась незначительно. Основную долю расходов бюджета Биритского муниципального образования в 2019 году, а также как и в 2018 году составили расходы </w:t>
      </w:r>
      <w:r>
        <w:t>по разделам «Общегосударственные вопросы», «Национальная экономика», «Жилищно-коммунальное хозяйство» и «Культура,</w:t>
      </w:r>
    </w:p>
    <w:p w:rsidR="00256DAD" w:rsidRDefault="00E65B0F">
      <w:pPr>
        <w:pStyle w:val="a5"/>
        <w:framePr w:wrap="none" w:vAnchor="page" w:hAnchor="page" w:x="10791" w:y="15524"/>
        <w:shd w:val="clear" w:color="auto" w:fill="auto"/>
        <w:spacing w:line="200" w:lineRule="exact"/>
      </w:pPr>
      <w:r>
        <w:t>5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857" w:h="1497" w:hRule="exact" w:wrap="none" w:vAnchor="page" w:hAnchor="page" w:x="1325" w:y="1105"/>
        <w:shd w:val="clear" w:color="auto" w:fill="auto"/>
        <w:spacing w:before="0" w:after="0" w:line="356" w:lineRule="exact"/>
        <w:jc w:val="left"/>
      </w:pPr>
      <w:r>
        <w:t>кинематография». По данным разделам в 2019 году направлено бюджетных средств в сумме 6996,9 тыс. рублей, или 92,8%.</w:t>
      </w:r>
    </w:p>
    <w:p w:rsidR="00256DAD" w:rsidRDefault="00E65B0F">
      <w:pPr>
        <w:pStyle w:val="20"/>
        <w:framePr w:w="9857" w:h="1497" w:hRule="exact" w:wrap="none" w:vAnchor="page" w:hAnchor="page" w:x="1325" w:y="1105"/>
        <w:shd w:val="clear" w:color="auto" w:fill="auto"/>
        <w:spacing w:before="0" w:after="0" w:line="374" w:lineRule="exact"/>
        <w:ind w:firstLine="740"/>
        <w:jc w:val="left"/>
      </w:pPr>
      <w:r>
        <w:t>Р</w:t>
      </w:r>
      <w:r>
        <w:t>асходы бюджета за 2018-2019 годы в разрезе разделов и подразделов представлены в таблице №3.</w:t>
      </w:r>
    </w:p>
    <w:p w:rsidR="00256DAD" w:rsidRDefault="00E65B0F">
      <w:pPr>
        <w:pStyle w:val="a7"/>
        <w:framePr w:wrap="none" w:vAnchor="page" w:hAnchor="page" w:x="8881" w:y="2876"/>
        <w:shd w:val="clear" w:color="auto" w:fill="auto"/>
        <w:spacing w:line="190" w:lineRule="exact"/>
      </w:pPr>
      <w:r>
        <w:t>Таблица 3 (тыс. 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1228"/>
        <w:gridCol w:w="1271"/>
        <w:gridCol w:w="983"/>
        <w:gridCol w:w="994"/>
        <w:gridCol w:w="997"/>
        <w:gridCol w:w="1058"/>
        <w:gridCol w:w="1048"/>
      </w:tblGrid>
      <w:tr w:rsidR="00256DA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295pt"/>
              </w:rPr>
              <w:t>Раздел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120" w:after="0" w:line="190" w:lineRule="exact"/>
              <w:ind w:left="180"/>
              <w:jc w:val="left"/>
            </w:pPr>
            <w:r>
              <w:rPr>
                <w:rStyle w:val="295pt"/>
              </w:rPr>
              <w:t>подраздел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95pt"/>
              </w:rPr>
              <w:t>Факт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95pt"/>
              </w:rPr>
              <w:t>исполнение 2018 года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540"/>
              <w:jc w:val="left"/>
            </w:pPr>
            <w:r>
              <w:rPr>
                <w:rStyle w:val="295pt"/>
              </w:rPr>
              <w:t>2019 год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6" w:lineRule="exact"/>
            </w:pPr>
            <w:r>
              <w:rPr>
                <w:rStyle w:val="295pt"/>
              </w:rPr>
              <w:t>Утверждено на год решениями Думы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5pt"/>
              </w:rPr>
              <w:t>Факт нсполне мне 2019 года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5pt"/>
              </w:rPr>
              <w:t>%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5pt"/>
              </w:rPr>
              <w:t>нсполне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0pt"/>
              </w:rPr>
              <w:t>НИИ.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ind w:left="180"/>
              <w:jc w:val="left"/>
            </w:pPr>
            <w:r>
              <w:rPr>
                <w:rStyle w:val="295pt"/>
              </w:rPr>
              <w:t>(6/5*100)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5pt"/>
              </w:rPr>
              <w:t>Доля в общем объеме расходов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от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9" w:lineRule="exact"/>
              <w:ind w:left="240"/>
              <w:jc w:val="left"/>
            </w:pPr>
            <w:r>
              <w:rPr>
                <w:rStyle w:val="210pt"/>
              </w:rPr>
              <w:t>19.12.18г.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8-2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от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9" w:lineRule="exact"/>
              <w:ind w:left="140"/>
              <w:jc w:val="left"/>
            </w:pPr>
            <w:r>
              <w:rPr>
                <w:rStyle w:val="210pt"/>
              </w:rPr>
              <w:t>30.12.19г.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9" w:lineRule="exact"/>
              <w:jc w:val="center"/>
            </w:pPr>
            <w:r>
              <w:rPr>
                <w:rStyle w:val="210pt"/>
              </w:rPr>
              <w:t>10-1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256DAD">
            <w:pPr>
              <w:framePr w:w="9857" w:h="11711" w:wrap="none" w:vAnchor="page" w:hAnchor="page" w:x="1325" w:y="3136"/>
            </w:pP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7pt"/>
              </w:rPr>
              <w:t>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Обшегосуда рствен н 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3665,6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2736,4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3956,3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3826,6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50,7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5pt"/>
              </w:rPr>
              <w:t>Функционирование высшего должностного лица субъекта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0102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578.3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445.0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65 </w:t>
            </w:r>
            <w:r>
              <w:rPr>
                <w:rStyle w:val="210pt"/>
              </w:rPr>
              <w:t>1.0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571,6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Я</w:t>
            </w:r>
            <w:r>
              <w:rPr>
                <w:rStyle w:val="210pt"/>
                <w:vertAlign w:val="superscript"/>
              </w:rPr>
              <w:t>-</w:t>
            </w:r>
            <w:r>
              <w:rPr>
                <w:rStyle w:val="210pt"/>
              </w:rPr>
              <w:t>' 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256DAD">
            <w:pPr>
              <w:framePr w:w="9857" w:h="11711" w:wrap="none" w:vAnchor="page" w:hAnchor="page" w:x="1325" w:y="3136"/>
              <w:rPr>
                <w:sz w:val="10"/>
                <w:szCs w:val="10"/>
              </w:rPr>
            </w:pP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5pt"/>
              </w:rPr>
              <w:t>Функционирование Правительства РФ, высших органов исполнительной власти субъектов РФ. местных администрации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0104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3087,3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2280.7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3304,6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3255.0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98.5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43.2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>Обеспечение проведения выборов и референдумов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0107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Резервный фонд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420"/>
              <w:jc w:val="left"/>
            </w:pPr>
            <w:r>
              <w:rPr>
                <w:rStyle w:val="295pt"/>
              </w:rPr>
              <w:t>0111 |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-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5pt"/>
              </w:rPr>
              <w:t>Другие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5pt"/>
              </w:rPr>
              <w:t>общегосударственные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5pt"/>
              </w:rPr>
              <w:t>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0113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Национальная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оборона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115,1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1,5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5pt"/>
              </w:rPr>
              <w:t>Национальная безопасность н правоохранительная деятельность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51,5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0,7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Защита населения и территории от </w:t>
            </w:r>
            <w:r>
              <w:rPr>
                <w:rStyle w:val="295pt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0309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51.5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0,7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120" w:line="190" w:lineRule="exact"/>
              <w:jc w:val="left"/>
            </w:pPr>
            <w:r>
              <w:rPr>
                <w:rStyle w:val="295pt"/>
              </w:rPr>
              <w:t>Национальная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120" w:after="0" w:line="190" w:lineRule="exact"/>
              <w:jc w:val="left"/>
            </w:pPr>
            <w:r>
              <w:rPr>
                <w:rStyle w:val="295pt"/>
              </w:rPr>
              <w:t>экономика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2291,8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691,5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9.2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120" w:line="190" w:lineRule="exact"/>
              <w:jc w:val="left"/>
            </w:pPr>
            <w:r>
              <w:rPr>
                <w:rStyle w:val="295pt"/>
              </w:rPr>
              <w:t>Общеэкономические</w:t>
            </w:r>
          </w:p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120" w:after="0" w:line="190" w:lineRule="exact"/>
              <w:jc w:val="left"/>
            </w:pPr>
            <w:r>
              <w:rPr>
                <w:rStyle w:val="295pt"/>
              </w:rPr>
              <w:t>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0401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33,6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0,5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95pt"/>
              </w:rPr>
              <w:t xml:space="preserve">Дорожное хозяйство </w:t>
            </w:r>
            <w:r>
              <w:rPr>
                <w:rStyle w:val="295pt"/>
              </w:rPr>
              <w:t>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0409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383,6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916,7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2255.4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655,1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57" w:h="11711" w:wrap="none" w:vAnchor="page" w:hAnchor="page" w:x="1325" w:y="31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8.7</w:t>
            </w:r>
          </w:p>
        </w:tc>
      </w:tr>
    </w:tbl>
    <w:p w:rsidR="00256DAD" w:rsidRDefault="00E65B0F">
      <w:pPr>
        <w:pStyle w:val="50"/>
        <w:framePr w:w="9857" w:h="232" w:hRule="exact" w:wrap="none" w:vAnchor="page" w:hAnchor="page" w:x="1325" w:y="15585"/>
        <w:shd w:val="clear" w:color="auto" w:fill="auto"/>
        <w:spacing w:before="0" w:line="170" w:lineRule="exact"/>
        <w:ind w:right="260"/>
      </w:pPr>
      <w:r>
        <w:t>б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1228"/>
        <w:gridCol w:w="1264"/>
        <w:gridCol w:w="986"/>
        <w:gridCol w:w="994"/>
        <w:gridCol w:w="1001"/>
        <w:gridCol w:w="1058"/>
        <w:gridCol w:w="1051"/>
      </w:tblGrid>
      <w:tr w:rsidR="00256DA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Жилищно-</w:t>
            </w:r>
          </w:p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коммунальное</w:t>
            </w:r>
          </w:p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698,1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180" w:line="190" w:lineRule="exact"/>
              <w:jc w:val="left"/>
            </w:pPr>
            <w:r>
              <w:rPr>
                <w:rStyle w:val="295pt"/>
              </w:rPr>
              <w:t>—</w:t>
            </w:r>
          </w:p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180" w:after="0" w:line="190" w:lineRule="exact"/>
              <w:jc w:val="center"/>
            </w:pPr>
            <w:r>
              <w:rPr>
                <w:rStyle w:val="295pt"/>
              </w:rPr>
              <w:t>498,7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6,6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Коммунальное</w:t>
            </w:r>
          </w:p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0502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77.9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267.0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265,1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99.3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3,5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620,1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233,6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77,1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3,1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Образование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18.0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5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0705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43.5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18.0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0.2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95pt"/>
              </w:rPr>
              <w:t>Культура, кинематография и средства массовой информации,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1993,3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498,6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2012,0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1980,1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98,4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26,3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1993,3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498,6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2012,0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1980,1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26,3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Социальная политика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246,15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270,4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99,4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3,6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95pt"/>
              </w:rPr>
              <w:t xml:space="preserve">М ежб юджетн ы е трансферты бюджетам субъектов РФ МО </w:t>
            </w:r>
            <w:r>
              <w:rPr>
                <w:rStyle w:val="295pt"/>
              </w:rPr>
              <w:t>общего характера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1,1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95pt"/>
              </w:rPr>
              <w:t>Прочие межбюджетные трансферты общего характера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1,1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Всего: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DAD" w:rsidRDefault="00256DAD">
            <w:pPr>
              <w:framePr w:w="9860" w:h="8881" w:wrap="none" w:vAnchor="page" w:hAnchor="page" w:x="1248" w:y="1185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7225,9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4572,0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9371,3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7536,5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860" w:h="8881" w:wrap="none" w:vAnchor="page" w:hAnchor="page" w:x="1248" w:y="11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</w:tbl>
    <w:p w:rsidR="00256DAD" w:rsidRDefault="00E65B0F">
      <w:pPr>
        <w:pStyle w:val="20"/>
        <w:framePr w:w="9893" w:h="5231" w:hRule="exact" w:wrap="none" w:vAnchor="page" w:hAnchor="page" w:x="1215" w:y="9981"/>
        <w:shd w:val="clear" w:color="auto" w:fill="auto"/>
        <w:spacing w:before="0" w:after="0" w:line="367" w:lineRule="exact"/>
        <w:ind w:right="280" w:firstLine="720"/>
      </w:pPr>
      <w:r>
        <w:t xml:space="preserve">По сравнению с 2018 годом расходы бюджета муниципального образования </w:t>
      </w:r>
      <w:r>
        <w:t>увеличились на 310,6 тыс. рублей или на 4,2%, в том числе по разделам, -«национальная экономика» на 274,3 тыс. рублей, или на 65,7%, -по разделу «национальная оборона» на 46,5 тыс. рублей или на 68%, по разделу «общегосударственные вопросы» на 161,0 тыс. р</w:t>
      </w:r>
      <w:r>
        <w:t>ублей или на 4,4%.</w:t>
      </w:r>
    </w:p>
    <w:p w:rsidR="00256DAD" w:rsidRDefault="00E65B0F">
      <w:pPr>
        <w:pStyle w:val="20"/>
        <w:framePr w:w="9893" w:h="5231" w:hRule="exact" w:wrap="none" w:vAnchor="page" w:hAnchor="page" w:x="1215" w:y="9981"/>
        <w:shd w:val="clear" w:color="auto" w:fill="auto"/>
        <w:spacing w:before="0" w:after="0" w:line="371" w:lineRule="exact"/>
        <w:ind w:right="280" w:firstLine="720"/>
      </w:pPr>
      <w:r>
        <w:t>Уменьшение расходов по сравнению с 2018 годом произошло по разделу - «жилищно-коммунальное хозяйство» на сумму 199,4 тыс. рублей.</w:t>
      </w:r>
    </w:p>
    <w:p w:rsidR="00256DAD" w:rsidRDefault="00E65B0F">
      <w:pPr>
        <w:pStyle w:val="20"/>
        <w:framePr w:w="9893" w:h="5231" w:hRule="exact" w:wrap="none" w:vAnchor="page" w:hAnchor="page" w:x="1215" w:y="9981"/>
        <w:shd w:val="clear" w:color="auto" w:fill="auto"/>
        <w:spacing w:before="0" w:after="309" w:line="374" w:lineRule="exact"/>
        <w:ind w:right="280" w:firstLine="720"/>
      </w:pPr>
      <w:r>
        <w:t xml:space="preserve">По разделам функциональной классификации расходов бюджета исполнение составило 100%: 02 «национальная </w:t>
      </w:r>
      <w:r>
        <w:t>оборона», 03 «национальная безопасность и правоохранительная деятельность», 07 «образование», 14 «межбюджетные трансферты».</w:t>
      </w:r>
    </w:p>
    <w:p w:rsidR="00256DAD" w:rsidRDefault="00E65B0F">
      <w:pPr>
        <w:pStyle w:val="10"/>
        <w:framePr w:w="9893" w:h="5231" w:hRule="exact" w:wrap="none" w:vAnchor="page" w:hAnchor="page" w:x="1215" w:y="9981"/>
        <w:shd w:val="clear" w:color="auto" w:fill="auto"/>
        <w:spacing w:line="364" w:lineRule="exact"/>
        <w:ind w:left="3240" w:right="280"/>
        <w:jc w:val="left"/>
      </w:pPr>
      <w:bookmarkStart w:id="9" w:name="bookmark8"/>
      <w:r>
        <w:t>Анализ расходов по разделам и подразделам функциональной классификации расходов</w:t>
      </w:r>
      <w:bookmarkEnd w:id="9"/>
    </w:p>
    <w:p w:rsidR="00256DAD" w:rsidRDefault="00E65B0F">
      <w:pPr>
        <w:pStyle w:val="32"/>
        <w:framePr w:wrap="none" w:vAnchor="page" w:hAnchor="page" w:x="10708" w:y="15602"/>
        <w:shd w:val="clear" w:color="auto" w:fill="auto"/>
        <w:spacing w:line="190" w:lineRule="exact"/>
      </w:pPr>
      <w:r>
        <w:t>7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10"/>
        <w:framePr w:w="9680" w:h="14083" w:hRule="exact" w:wrap="none" w:vAnchor="page" w:hAnchor="page" w:x="1321" w:y="1128"/>
        <w:shd w:val="clear" w:color="auto" w:fill="auto"/>
        <w:spacing w:line="367" w:lineRule="exact"/>
        <w:ind w:firstLine="0"/>
        <w:jc w:val="right"/>
      </w:pPr>
      <w:bookmarkStart w:id="10" w:name="bookmark9"/>
      <w:r>
        <w:rPr>
          <w:rStyle w:val="11"/>
        </w:rPr>
        <w:t xml:space="preserve">На 2019 год </w:t>
      </w:r>
      <w:r>
        <w:t>по разделу 01 «О</w:t>
      </w:r>
      <w:r>
        <w:t>бщегосударственные вопросы»</w:t>
      </w:r>
      <w:bookmarkEnd w:id="10"/>
    </w:p>
    <w:p w:rsidR="00256DAD" w:rsidRDefault="00E65B0F">
      <w:pPr>
        <w:pStyle w:val="20"/>
        <w:framePr w:w="9680" w:h="14083" w:hRule="exact" w:wrap="none" w:vAnchor="page" w:hAnchor="page" w:x="1321" w:y="1128"/>
        <w:shd w:val="clear" w:color="auto" w:fill="auto"/>
        <w:spacing w:before="0" w:after="0" w:line="367" w:lineRule="exact"/>
      </w:pPr>
      <w:r>
        <w:t xml:space="preserve">запланированы бюджетные ассигнования в объеме 3956,3 тыс. рублей, исполнение за год составляет 3826,6 тыс. рублей или 96,7% к плану. По сравнению с 2018 годом отмечено увеличение расходов по данному разделу на 161,0 тыс. рублей </w:t>
      </w:r>
      <w:r>
        <w:t>или на 4,4%.</w:t>
      </w:r>
    </w:p>
    <w:p w:rsidR="00256DAD" w:rsidRDefault="00E65B0F">
      <w:pPr>
        <w:pStyle w:val="20"/>
        <w:framePr w:w="9680" w:h="14083" w:hRule="exact" w:wrap="none" w:vAnchor="page" w:hAnchor="page" w:x="1321" w:y="1128"/>
        <w:shd w:val="clear" w:color="auto" w:fill="auto"/>
        <w:spacing w:before="0" w:after="0" w:line="367" w:lineRule="exact"/>
        <w:jc w:val="right"/>
      </w:pPr>
      <w:r>
        <w:t>По подразделу 0102 «Функционирование высшего должностного лица муниципального образования» при плане 651.0 тыс. рублей исполнено в сумме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367" w:lineRule="exact"/>
      </w:pPr>
      <w:r>
        <w:t xml:space="preserve">тыс. рублей или 87,8% от уточненного плана утвержденного решением Думы от 30.12.2019 года. По сравнению с </w:t>
      </w:r>
      <w:r>
        <w:t>2018 годом (578,3 тыс. рублей), расходы на функционирование высшего должностного лица уменьшились на 6,7 тыс. рублей или на 1,2%. Средства по данному подразделу израсходованы на: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67" w:lineRule="exact"/>
        <w:ind w:firstLine="740"/>
      </w:pPr>
      <w:r>
        <w:t>на заработную плату, расходы составляют 427.4 тыс. рублей;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367" w:lineRule="exact"/>
        <w:ind w:left="740"/>
        <w:jc w:val="left"/>
      </w:pPr>
      <w:r>
        <w:t>начисления на опла</w:t>
      </w:r>
      <w:r>
        <w:t>ту труда, расходы составили 144,2 тыс. рублей. Удельный вес расходов по данному подразделу в общем объеме расходов</w:t>
      </w:r>
    </w:p>
    <w:p w:rsidR="00256DAD" w:rsidRDefault="00E65B0F">
      <w:pPr>
        <w:pStyle w:val="20"/>
        <w:framePr w:w="9680" w:h="14083" w:hRule="exact" w:wrap="none" w:vAnchor="page" w:hAnchor="page" w:x="1321" w:y="1128"/>
        <w:shd w:val="clear" w:color="auto" w:fill="auto"/>
        <w:spacing w:before="0" w:after="0" w:line="367" w:lineRule="exact"/>
      </w:pPr>
      <w:r>
        <w:t>составляет 7,6 %.</w:t>
      </w:r>
    </w:p>
    <w:p w:rsidR="00256DAD" w:rsidRDefault="00E65B0F">
      <w:pPr>
        <w:pStyle w:val="20"/>
        <w:framePr w:w="9680" w:h="14083" w:hRule="exact" w:wrap="none" w:vAnchor="page" w:hAnchor="page" w:x="1321" w:y="1128"/>
        <w:shd w:val="clear" w:color="auto" w:fill="auto"/>
        <w:spacing w:before="0" w:after="0" w:line="367" w:lineRule="exact"/>
        <w:ind w:firstLine="740"/>
      </w:pPr>
      <w:r>
        <w:t>Норматив формирования расходов на оплату труда главы Биритского МО на 2019 год доведен письмом Министерства труда и занятос</w:t>
      </w:r>
      <w:r>
        <w:t>ти Иркутской области от 12.09.2019 года № 02-74-6057/19 в размере 499,6 тыс. рублей в год.</w:t>
      </w:r>
    </w:p>
    <w:p w:rsidR="00256DAD" w:rsidRDefault="00E65B0F">
      <w:pPr>
        <w:pStyle w:val="20"/>
        <w:framePr w:w="9680" w:h="14083" w:hRule="exact" w:wrap="none" w:vAnchor="page" w:hAnchor="page" w:x="1321" w:y="1128"/>
        <w:shd w:val="clear" w:color="auto" w:fill="auto"/>
        <w:spacing w:before="0" w:after="0" w:line="367" w:lineRule="exact"/>
        <w:ind w:firstLine="740"/>
      </w:pPr>
      <w:r>
        <w:t>Нормативы определены в соответствии с Постановлением Правительства Иркутской области от 27.11.2014 г. № 599-пп «Об установлении нормативов формирования расходов на о</w:t>
      </w:r>
      <w:r>
        <w:t>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256DAD" w:rsidRDefault="00E65B0F">
      <w:pPr>
        <w:pStyle w:val="20"/>
        <w:framePr w:w="9680" w:h="14083" w:hRule="exact" w:wrap="none" w:vAnchor="page" w:hAnchor="page" w:x="1321" w:y="1128"/>
        <w:shd w:val="clear" w:color="auto" w:fill="auto"/>
        <w:spacing w:before="0" w:after="0" w:line="367" w:lineRule="exact"/>
        <w:ind w:firstLine="740"/>
      </w:pPr>
      <w:r>
        <w:t>Годовое начислен</w:t>
      </w:r>
      <w:r>
        <w:t>ие заработной платы главе Биритского МО за 2019 год, не превышает годовой норматив расходов на оплату труда главе сельского поселения.</w:t>
      </w:r>
    </w:p>
    <w:p w:rsidR="00256DAD" w:rsidRDefault="00E65B0F">
      <w:pPr>
        <w:pStyle w:val="20"/>
        <w:framePr w:w="9680" w:h="14083" w:hRule="exact" w:wrap="none" w:vAnchor="page" w:hAnchor="page" w:x="1321" w:y="1128"/>
        <w:shd w:val="clear" w:color="auto" w:fill="auto"/>
        <w:spacing w:before="0" w:after="0" w:line="367" w:lineRule="exact"/>
        <w:jc w:val="right"/>
      </w:pPr>
      <w:r>
        <w:t xml:space="preserve">По подразделу 0104 «Функционирование администрации Биритского муниципального образования» расходы в целом 3255,0 тыс. </w:t>
      </w:r>
      <w:r>
        <w:t>рублей при плане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367" w:lineRule="exact"/>
      </w:pPr>
      <w:r>
        <w:t>или 98,5% к плану. По сравнению с показателем 2018 года (3087,3 тыс. рублей), расходы по данному подразделу увеличились на 167,7 тыс. рублей, или 5,4%. Средства по данному подразделу израсходованы на: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67" w:lineRule="exact"/>
        <w:ind w:firstLine="740"/>
      </w:pPr>
      <w:r>
        <w:t>заработную плату расходы составляют 21</w:t>
      </w:r>
      <w:r>
        <w:t>17,5 тыс. рублей;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67" w:lineRule="exact"/>
        <w:ind w:firstLine="740"/>
      </w:pPr>
      <w:r>
        <w:t>начисления на оплату труда исполнение составляет 653,9 тыс. рублей;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367" w:lineRule="exact"/>
        <w:ind w:firstLine="740"/>
      </w:pPr>
      <w:r>
        <w:t>закупка товаров, работ, услуг для муниципальных нужд исполнение составило 424,0 тыс. рублей;</w:t>
      </w:r>
    </w:p>
    <w:p w:rsidR="00256DAD" w:rsidRDefault="00E65B0F">
      <w:pPr>
        <w:pStyle w:val="20"/>
        <w:framePr w:w="9680" w:h="14083" w:hRule="exact" w:wrap="none" w:vAnchor="page" w:hAnchor="page" w:x="1321" w:y="1128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367" w:lineRule="exact"/>
        <w:ind w:firstLine="740"/>
      </w:pPr>
      <w:r>
        <w:t>уплата налогов, сборов и иных платежей расходы составили 59,5 тыс. рублей.</w:t>
      </w:r>
    </w:p>
    <w:p w:rsidR="00256DAD" w:rsidRDefault="00E65B0F">
      <w:pPr>
        <w:pStyle w:val="a5"/>
        <w:framePr w:wrap="none" w:vAnchor="page" w:hAnchor="page" w:x="10818" w:y="15601"/>
        <w:shd w:val="clear" w:color="auto" w:fill="auto"/>
        <w:spacing w:line="200" w:lineRule="exact"/>
      </w:pPr>
      <w:r>
        <w:t>8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>Удельный вес расходов данного подраздела в общем объеме расходов муниципального образования составил 43,2%.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 xml:space="preserve">При анализе расходования средств на заработную плату по разделу 0104 «Функционирование администрации Биритского </w:t>
      </w:r>
      <w:r>
        <w:t>муниципального образования» норматив формирования заработной платы в целом по разделу не превышен (норматив 2433,0 тыс. рублей), расходы на заработную плату составили 2117,5 тыс. рублей: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>-заработная плата лиц, замещающих должности муниципальной службы - 11</w:t>
      </w:r>
      <w:r>
        <w:t>25,8 тыс. рублей (норматив 1521.9 тыс. рублей);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 xml:space="preserve">-заработная плата лиц, замещающих должности не являющиеся должностями муниципальной службы - </w:t>
      </w:r>
      <w:r>
        <w:rPr>
          <w:rStyle w:val="21"/>
        </w:rPr>
        <w:t xml:space="preserve">462,4 </w:t>
      </w:r>
      <w:r>
        <w:t xml:space="preserve">тыс. рублей </w:t>
      </w:r>
      <w:r>
        <w:rPr>
          <w:rStyle w:val="21"/>
        </w:rPr>
        <w:t>(норматив 365,6 тыс. рублей);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 xml:space="preserve">-заработная плата работников органа местного самоуправления, </w:t>
      </w:r>
      <w:r>
        <w:t>переведенных на новые системы оплаты труда -524,20 тыс. рублей (норматив 545,4 тыс. рублей).</w:t>
      </w:r>
    </w:p>
    <w:p w:rsidR="00256DAD" w:rsidRDefault="00E65B0F">
      <w:pPr>
        <w:pStyle w:val="30"/>
        <w:framePr w:w="9673" w:h="14443" w:hRule="exact" w:wrap="none" w:vAnchor="page" w:hAnchor="page" w:x="1325" w:y="1121"/>
        <w:shd w:val="clear" w:color="auto" w:fill="auto"/>
        <w:ind w:firstLine="760"/>
        <w:jc w:val="both"/>
      </w:pPr>
      <w:r>
        <w:t>Превышение норматива заработной платы выявлено у лиц, замещающих должности, не являющиеся должностями муниципальной службы - на 96,8 тыс. рублей.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>По подразделу 011</w:t>
      </w:r>
      <w:r>
        <w:t>1 «Резервный фонд» в структуре расходов бюджета Биритского муниципального образования решением Думы от 19.12.2018 года «О бюджете на 2019 год» в первоначальной редакции был предусмотрен резервный фонд в сумме 10,0 тыс. рублей. В конечной редакции от 30.12.</w:t>
      </w:r>
      <w:r>
        <w:t>2019 года резервный фонд не предусмотрен.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 xml:space="preserve">На 2019 год по </w:t>
      </w:r>
      <w:r>
        <w:rPr>
          <w:rStyle w:val="21"/>
        </w:rPr>
        <w:t xml:space="preserve">разделу 02 «Национальная оборона» </w:t>
      </w:r>
      <w:r>
        <w:t>расходы исполнены в сумме 115,1 тыс. рублей или 100 % от плана. По сравнению с 2018 годом данные расходы увеличились на 46,6 тыс. рублей. Средства по данному разделу</w:t>
      </w:r>
      <w:r>
        <w:t xml:space="preserve"> израсходованы на:</w:t>
      </w:r>
    </w:p>
    <w:p w:rsidR="00256DAD" w:rsidRDefault="00E65B0F">
      <w:pPr>
        <w:pStyle w:val="20"/>
        <w:framePr w:w="9673" w:h="14443" w:hRule="exact" w:wrap="none" w:vAnchor="page" w:hAnchor="page" w:x="1325" w:y="1121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367" w:lineRule="exact"/>
        <w:ind w:firstLine="760"/>
      </w:pPr>
      <w:r>
        <w:t>заработную плату, расходы составляют 82,0 тыс. рублей;</w:t>
      </w:r>
    </w:p>
    <w:p w:rsidR="00256DAD" w:rsidRDefault="00E65B0F">
      <w:pPr>
        <w:pStyle w:val="20"/>
        <w:framePr w:w="9673" w:h="14443" w:hRule="exact" w:wrap="none" w:vAnchor="page" w:hAnchor="page" w:x="1325" w:y="1121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367" w:lineRule="exact"/>
        <w:ind w:firstLine="760"/>
      </w:pPr>
      <w:r>
        <w:t>начисления на оплату труда, расходы составляют 24,8 тыс. рублей;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>-закупка товаров, работ и услуг для государственных (муниципальных)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jc w:val="left"/>
      </w:pPr>
      <w:r>
        <w:t>нужд 8,3 тыс. рублей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>Удельный вес расходов данног</w:t>
      </w:r>
      <w:r>
        <w:t>о раздела в общем объеме расходов муниципального образования составил 1,5%.</w:t>
      </w:r>
    </w:p>
    <w:p w:rsidR="00256DAD" w:rsidRDefault="00E65B0F">
      <w:pPr>
        <w:pStyle w:val="20"/>
        <w:framePr w:w="9673" w:h="14443" w:hRule="exact" w:wrap="none" w:vAnchor="page" w:hAnchor="page" w:x="1325" w:y="1121"/>
        <w:shd w:val="clear" w:color="auto" w:fill="auto"/>
        <w:spacing w:before="0" w:after="0" w:line="367" w:lineRule="exact"/>
        <w:ind w:firstLine="760"/>
      </w:pPr>
      <w:r>
        <w:t xml:space="preserve">На 2019 год по разделу </w:t>
      </w:r>
      <w:r>
        <w:rPr>
          <w:rStyle w:val="21"/>
        </w:rPr>
        <w:t xml:space="preserve">03 «Национальная безопасность и правоохранительная деятельность» </w:t>
      </w:r>
      <w:r>
        <w:t>в бюджете запланированы бюджетные ассигнования в объеме 51,5 тыс. рублей исполнение за год с</w:t>
      </w:r>
      <w:r>
        <w:t>оставляет 51,5 тыс. рублей или 100 % к плану. Средства по данному разделу израсходованы на:</w:t>
      </w:r>
    </w:p>
    <w:p w:rsidR="00256DAD" w:rsidRDefault="00E65B0F">
      <w:pPr>
        <w:pStyle w:val="20"/>
        <w:framePr w:w="9673" w:h="14443" w:hRule="exact" w:wrap="none" w:vAnchor="page" w:hAnchor="page" w:x="1325" w:y="1121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367" w:lineRule="exact"/>
        <w:ind w:firstLine="760"/>
      </w:pPr>
      <w:r>
        <w:t>прочая закупка товаров, работ и услуг для обеспечения государственных (муниципальных) нужд расходы составили - 51,5 тыс. рублей.</w:t>
      </w:r>
    </w:p>
    <w:p w:rsidR="00256DAD" w:rsidRDefault="00E65B0F">
      <w:pPr>
        <w:pStyle w:val="32"/>
        <w:framePr w:wrap="none" w:vAnchor="page" w:hAnchor="page" w:x="10815" w:y="15602"/>
        <w:shd w:val="clear" w:color="auto" w:fill="auto"/>
        <w:spacing w:line="190" w:lineRule="exact"/>
      </w:pPr>
      <w:r>
        <w:t>9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 xml:space="preserve">Удельный </w:t>
      </w:r>
      <w:r>
        <w:t>вес расходов по данному разделу в общем объеме расходов составляет 0,7%.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 xml:space="preserve">Расходы по разделу </w:t>
      </w:r>
      <w:r>
        <w:rPr>
          <w:rStyle w:val="21"/>
        </w:rPr>
        <w:t xml:space="preserve">04 «Национальная экономика» </w:t>
      </w:r>
      <w:r>
        <w:t>за 2019 год исполнены в размере 691,5 тыс. рублей или 30,2% от уточненного планового показателя. По сравнению с показателем прошлого год</w:t>
      </w:r>
      <w:r>
        <w:t>а расходы увеличились на 274,3 тыс. рублей.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По подразделу 0401 общеэкономические вопросы произведены расходы в сумме 36,4 тыс. рублей, план выполнен на 100%. Расходы произведены за счет субвенций из областного бюджета по переданным полномочиям в сфере водо</w:t>
      </w:r>
      <w:r>
        <w:t>снабжения и водоотведения на оплату труда, страховые взносы на выплаты денежного содержания, на закупку товаров, работ и услуг для государственных и (муниципальных) нужд.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 xml:space="preserve">По </w:t>
      </w:r>
      <w:r>
        <w:rPr>
          <w:rStyle w:val="21"/>
        </w:rPr>
        <w:t xml:space="preserve">подразделу 0409 дорожное хозяйство (дорожные фонды) </w:t>
      </w:r>
      <w:r>
        <w:t>бюджетные назначения составляю</w:t>
      </w:r>
      <w:r>
        <w:t>т 2255,4 тыс. рублей, фактические расходы произведены в сумме 655,1 тыс. рублей на: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-ремонт участка автомобильной дороги по ул. Чехова с.Бирит-495,1 тыс. рублей;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-очистка дорог от снежного покрова - 65,4 тыс. рублей;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-выравнивание дорожной одежды - 43,4 ты</w:t>
      </w:r>
      <w:r>
        <w:t>с. рублей;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-очистка пешеходного перехода -2,2 тыс. рублей;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-электромонтажные работы по уличному освещению-14.3 тыс. рублей: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-приобретение СИП для уличного освещения-10,4 тыс. рублей;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-приобретение лам для уличного освещения - 0,8 тыс. рублей;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-оплата элект</w:t>
      </w:r>
      <w:r>
        <w:t>роэнергии за уличное освещение - 23,5 тыс. рублей.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В соответствии с п.5 статьи 179.4 Бюджетного кодекса РФ остаток неиспользованных средств дорожного фонда за прошлые годы в сумме 1557,65 тыс. рублей направлен на увеличение бюджетных ассигнований дорожного</w:t>
      </w:r>
      <w:r>
        <w:t xml:space="preserve"> фонда в очередном финансовом году, т. е. в 2020 году (Решение Думы № 1-1 от 29.01.2020 г.)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Удельный вес расходов этого раздела в общем объеме расходов муниципального образования составил 8,7%.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 xml:space="preserve">Расходы по </w:t>
      </w:r>
      <w:r>
        <w:rPr>
          <w:rStyle w:val="21"/>
        </w:rPr>
        <w:t xml:space="preserve">разделу 05 «Жилищно-коммунальное хозяйство» </w:t>
      </w:r>
      <w:r>
        <w:t>при пла</w:t>
      </w:r>
      <w:r>
        <w:t>новом показателе 570,0 тыс. рублей исполнены в сумме 498,7 тыс. рублей или 87,5%. По сравнению с 2018 годом расходы уменьшились на 199,4 тыс. рублей.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По подразделу 0502 Коммунальное хозяйство произведены расходы в сумме 265,1 тыс. рублей.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 xml:space="preserve">По подразделу </w:t>
      </w:r>
      <w:r>
        <w:t>0503 Благоустройство произведены расходы в сумме 233,6 тыс. рублей, в том числе:</w:t>
      </w:r>
    </w:p>
    <w:p w:rsidR="00256DAD" w:rsidRDefault="00E65B0F">
      <w:pPr>
        <w:pStyle w:val="20"/>
        <w:framePr w:w="9680" w:h="14451" w:hRule="exact" w:wrap="none" w:vAnchor="page" w:hAnchor="page" w:x="1321" w:y="1121"/>
        <w:shd w:val="clear" w:color="auto" w:fill="auto"/>
        <w:spacing w:before="0" w:after="0" w:line="367" w:lineRule="exact"/>
        <w:ind w:firstLine="740"/>
      </w:pPr>
      <w:r>
        <w:t>-оплата за уличное освещение в сумме 81,6 тыс. рублей;</w:t>
      </w:r>
    </w:p>
    <w:p w:rsidR="00256DAD" w:rsidRDefault="00E65B0F">
      <w:pPr>
        <w:pStyle w:val="42"/>
        <w:framePr w:wrap="none" w:vAnchor="page" w:hAnchor="page" w:x="10714" w:y="15620"/>
        <w:shd w:val="clear" w:color="auto" w:fill="auto"/>
        <w:spacing w:line="190" w:lineRule="exact"/>
      </w:pPr>
      <w:r>
        <w:t>10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-в рамках реализации проекта народных инициатив освещение двух улиц Чехова и 1-я Советская с. Б</w:t>
      </w:r>
      <w:r>
        <w:t>ирит на сумму 145,9 тыс. рублей, софинансирование из местного бюджета составило 6,1 тыс. рублей.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Удельный вес расходов этого раздела в общем объеме расходов муниципального образования составил 6,6%.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 xml:space="preserve">Расходы по разделу </w:t>
      </w:r>
      <w:r>
        <w:rPr>
          <w:rStyle w:val="21"/>
        </w:rPr>
        <w:t xml:space="preserve">07 «Образование» </w:t>
      </w:r>
      <w:r>
        <w:t>в бюджете запланирова</w:t>
      </w:r>
      <w:r>
        <w:t>ны бюджетные ассигнования в объеме 18,0 тыс. рублей исполнение за год составляет 100% к плану. Доля расходов по данному разделу в общем объеме расходов составляет 0,2%.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Средства по данному разделу израсходованы па:</w:t>
      </w:r>
    </w:p>
    <w:p w:rsidR="00256DAD" w:rsidRDefault="00E65B0F">
      <w:pPr>
        <w:pStyle w:val="20"/>
        <w:framePr w:w="9680" w:h="14079" w:hRule="exact" w:wrap="none" w:vAnchor="page" w:hAnchor="page" w:x="1321" w:y="1114"/>
        <w:numPr>
          <w:ilvl w:val="0"/>
          <w:numId w:val="2"/>
        </w:numPr>
        <w:shd w:val="clear" w:color="auto" w:fill="auto"/>
        <w:tabs>
          <w:tab w:val="left" w:pos="920"/>
        </w:tabs>
        <w:spacing w:before="0" w:after="0" w:line="367" w:lineRule="exact"/>
        <w:ind w:firstLine="740"/>
        <w:jc w:val="left"/>
      </w:pPr>
      <w:r>
        <w:t>прочая закупка товаров, работ и услуг для</w:t>
      </w:r>
      <w:r>
        <w:t xml:space="preserve"> обеспечения государственных (муниципальных) нужд расходы составляют 18,0 тыс. рублей, в том числе: консультационный семинар «Основные изменения в законодательстве о бухгалтерском (бюджетном учете и отчетности), введение федеральных стандартов.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 xml:space="preserve">Расходы по </w:t>
      </w:r>
      <w:r>
        <w:t xml:space="preserve">разделу </w:t>
      </w:r>
      <w:r>
        <w:rPr>
          <w:rStyle w:val="21"/>
        </w:rPr>
        <w:t xml:space="preserve">08 «Культура, кинематография» </w:t>
      </w:r>
      <w:r>
        <w:t>исполнены в сумме 1980,1 тыс. рублей или 98,4% от уточненного планового показателя. По сравнению с 2018 годом расходы по данному разделу уменьшились на 13,2 тыс. рублей. Средства по данному разделу израсходованы на:</w:t>
      </w:r>
    </w:p>
    <w:p w:rsidR="00256DAD" w:rsidRDefault="00E65B0F">
      <w:pPr>
        <w:pStyle w:val="20"/>
        <w:framePr w:w="9680" w:h="14079" w:hRule="exact" w:wrap="none" w:vAnchor="page" w:hAnchor="page" w:x="1321" w:y="111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367" w:lineRule="exact"/>
        <w:ind w:firstLine="740"/>
      </w:pPr>
      <w:r>
        <w:t>заработную плату расходы составляют 526,7 тыс. рублей;</w:t>
      </w:r>
    </w:p>
    <w:p w:rsidR="00256DAD" w:rsidRDefault="00E65B0F">
      <w:pPr>
        <w:pStyle w:val="20"/>
        <w:framePr w:w="9680" w:h="14079" w:hRule="exact" w:wrap="none" w:vAnchor="page" w:hAnchor="page" w:x="1321" w:y="111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367" w:lineRule="exact"/>
        <w:ind w:firstLine="740"/>
      </w:pPr>
      <w:r>
        <w:t>начисления на оплату труда расходы составляют 171,1 тыс. рублей;</w:t>
      </w:r>
    </w:p>
    <w:p w:rsidR="00256DAD" w:rsidRDefault="00E65B0F">
      <w:pPr>
        <w:pStyle w:val="20"/>
        <w:framePr w:w="9680" w:h="14079" w:hRule="exact" w:wrap="none" w:vAnchor="page" w:hAnchor="page" w:x="1321" w:y="1114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67" w:lineRule="exact"/>
        <w:ind w:firstLine="740"/>
      </w:pPr>
      <w:r>
        <w:t>прочая закупка товаров, работ и услуг для обеспечения государственных (муниципальных) нужд расходы составляют 1282,3 тыс. рублей;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Удельн</w:t>
      </w:r>
      <w:r>
        <w:t>ый вес расходов данного раздела составил 26,3% по отношению к общему объему расходов муниципального образования.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 xml:space="preserve">Расходы по разделу </w:t>
      </w:r>
      <w:r>
        <w:rPr>
          <w:rStyle w:val="21"/>
        </w:rPr>
        <w:t xml:space="preserve">10 «Социальная политика» </w:t>
      </w:r>
      <w:r>
        <w:t xml:space="preserve">исполнены в сумме </w:t>
      </w:r>
      <w:r>
        <w:rPr>
          <w:rStyle w:val="21"/>
        </w:rPr>
        <w:t xml:space="preserve">270,4 </w:t>
      </w:r>
      <w:r>
        <w:t xml:space="preserve">тыс. рублей или </w:t>
      </w:r>
      <w:r>
        <w:rPr>
          <w:rStyle w:val="21"/>
        </w:rPr>
        <w:t xml:space="preserve">99,4% </w:t>
      </w:r>
      <w:r>
        <w:t>от уточненного планового показателя.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По данному разде</w:t>
      </w:r>
      <w:r>
        <w:t>лу произведены расходы на выплату пенсии за выслугу лет гражданам, замещающим должности муниципальной службы. По сравнению с 2018 годом расходы увеличились на 1,1%.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Удельный вес расходов по данному разделу в общем объеме расходов составляет 3,6%.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По раздел</w:t>
      </w:r>
      <w:r>
        <w:t xml:space="preserve">у </w:t>
      </w:r>
      <w:r>
        <w:rPr>
          <w:rStyle w:val="21"/>
        </w:rPr>
        <w:t xml:space="preserve">14 «Межбюджетные трансферты» </w:t>
      </w:r>
      <w:r>
        <w:t>бюджетные назначения исполнены в сумме 84,2 тыс. рублей или 100% от уточненного плана. По сравнению с показателем 2018 года расходы данного раздела остались без изменений.</w:t>
      </w:r>
    </w:p>
    <w:p w:rsidR="00256DAD" w:rsidRDefault="00E65B0F">
      <w:pPr>
        <w:pStyle w:val="20"/>
        <w:framePr w:w="9680" w:h="14079" w:hRule="exact" w:wrap="none" w:vAnchor="page" w:hAnchor="page" w:x="1321" w:y="1114"/>
        <w:shd w:val="clear" w:color="auto" w:fill="auto"/>
        <w:spacing w:before="0" w:after="0" w:line="367" w:lineRule="exact"/>
        <w:ind w:firstLine="740"/>
      </w:pPr>
      <w:r>
        <w:t>Данные расходы отражают затраченные финансовые средст</w:t>
      </w:r>
      <w:r>
        <w:t>ва по полномочиям, переданным на уровень района по заключенным соглашениям.</w:t>
      </w:r>
    </w:p>
    <w:p w:rsidR="00256DAD" w:rsidRDefault="00E65B0F">
      <w:pPr>
        <w:pStyle w:val="a5"/>
        <w:framePr w:wrap="none" w:vAnchor="page" w:hAnchor="page" w:x="10710" w:y="15598"/>
        <w:shd w:val="clear" w:color="auto" w:fill="auto"/>
        <w:spacing w:line="200" w:lineRule="exact"/>
      </w:pPr>
      <w:r>
        <w:t>и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303" w:line="371" w:lineRule="exact"/>
        <w:ind w:firstLine="740"/>
      </w:pPr>
      <w:r>
        <w:t>Удельный вес расходов этого раздела в общем объеме расходов муниципального образования составляет 1,1%.</w:t>
      </w:r>
    </w:p>
    <w:p w:rsidR="00256DAD" w:rsidRDefault="00E65B0F">
      <w:pPr>
        <w:pStyle w:val="10"/>
        <w:framePr w:w="9666" w:h="14748" w:hRule="exact" w:wrap="none" w:vAnchor="page" w:hAnchor="page" w:x="1329" w:y="841"/>
        <w:numPr>
          <w:ilvl w:val="0"/>
          <w:numId w:val="1"/>
        </w:numPr>
        <w:shd w:val="clear" w:color="auto" w:fill="auto"/>
        <w:tabs>
          <w:tab w:val="left" w:pos="3184"/>
        </w:tabs>
        <w:spacing w:line="367" w:lineRule="exact"/>
        <w:ind w:left="2800" w:firstLine="0"/>
        <w:jc w:val="both"/>
      </w:pPr>
      <w:bookmarkStart w:id="11" w:name="bookmark10"/>
      <w:r>
        <w:t>Анализ годовой бюджетной отчетности</w:t>
      </w:r>
      <w:bookmarkEnd w:id="11"/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t xml:space="preserve">Представленная </w:t>
      </w:r>
      <w:r>
        <w:t xml:space="preserve">бюджетная отчетность по полноте представленных форм соответствует требованиям ст.264.1 и Инструкции 191 н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</w:t>
      </w:r>
      <w:r>
        <w:t>Минфина 28.12.2010 г. (далее-инструкция № 191 н).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t>Отчетность представлена в сброшюрованном и пронумерованном виде 27 марта 2020 года, в соответствии с п.4 Инструкции 191 н имеется оглавление. Отчетность представлена в следующем составе: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t xml:space="preserve">-Баланс исполнения </w:t>
      </w:r>
      <w:r>
        <w:t>консолидированного субъекта Российской Федерации и бюджета территориального государственного внебюджетного фонда (ф.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0" w:line="367" w:lineRule="exact"/>
      </w:pPr>
      <w:r>
        <w:t>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67" w:lineRule="exact"/>
        <w:ind w:firstLine="740"/>
      </w:pPr>
      <w:r>
        <w:t>Сведения о количестве подведомственных учреждений (ф.0503361)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67" w:lineRule="exact"/>
        <w:ind w:firstLine="740"/>
      </w:pPr>
      <w:r>
        <w:t>Сведения об исполнении бюджета (ф. 0503364);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67" w:lineRule="exact"/>
        <w:ind w:firstLine="740"/>
      </w:pPr>
      <w:r>
        <w:t xml:space="preserve">Сведения по дебиторской и </w:t>
      </w:r>
      <w:r>
        <w:t>кредиторской задолженности (ф. 0503369);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67" w:lineRule="exact"/>
        <w:ind w:firstLine="740"/>
      </w:pPr>
      <w:r>
        <w:t>Сведения о вложениях в объекты недвижимости (ф.0503190)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t>-Сведения о движении нефинансовых активов (ф. 0503368);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t>-Отчет об исполнении консолидированного бюджета субъекта Российской Федерации и бюджета территориальног</w:t>
      </w:r>
      <w:r>
        <w:t>о государственного внебюджетного фонда (ф. 0503317);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67" w:lineRule="exact"/>
        <w:ind w:firstLine="740"/>
      </w:pPr>
      <w:r>
        <w:t>Консолидированный отчет о движении денежных средств (ф. 0503323);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67" w:lineRule="exact"/>
        <w:ind w:firstLine="740"/>
      </w:pPr>
      <w:r>
        <w:t>Консолидированный отчет о финансовых результатах деятельности (ф.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0" w:line="367" w:lineRule="exact"/>
      </w:pPr>
      <w:r>
        <w:t>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67" w:lineRule="exact"/>
        <w:ind w:firstLine="740"/>
      </w:pPr>
      <w:r>
        <w:t>Сведения о государственном (муниципальном) долге (ф.0503372);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67" w:lineRule="exact"/>
        <w:ind w:firstLine="740"/>
      </w:pPr>
      <w:r>
        <w:t>Сведени</w:t>
      </w:r>
      <w:r>
        <w:t>я об изменении остатков (ф. 0503373);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t>-Справка по заключению счетов бюджетного учета отчетного финансового года (ф. 0503110);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67" w:lineRule="exact"/>
        <w:ind w:firstLine="740"/>
      </w:pPr>
      <w:r>
        <w:t>Справка по консолидируемым расчетам (ф. 0503125);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t>-Пояснительная записка к отчету об исполнении консолидированного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</w:pPr>
      <w:r>
        <w:t xml:space="preserve">бюджета </w:t>
      </w:r>
      <w:r>
        <w:t>(ф.0503160);</w:t>
      </w:r>
    </w:p>
    <w:p w:rsidR="00256DAD" w:rsidRDefault="00E65B0F">
      <w:pPr>
        <w:pStyle w:val="20"/>
        <w:framePr w:w="9666" w:h="14748" w:hRule="exact" w:wrap="none" w:vAnchor="page" w:hAnchor="page" w:x="1329" w:y="841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67" w:lineRule="exact"/>
        <w:ind w:firstLine="740"/>
      </w:pPr>
      <w:r>
        <w:t>Главная книга (ф. 0504072).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Баланс исполнения бюджета (форма 0503320)</w:t>
      </w:r>
      <w:r>
        <w:t xml:space="preserve"> на начало года составлял 10035,4 тыс. рублей, на конец года 9902,8 тыс. рублей.</w:t>
      </w:r>
    </w:p>
    <w:p w:rsidR="00256DAD" w:rsidRDefault="00E65B0F">
      <w:pPr>
        <w:pStyle w:val="20"/>
        <w:framePr w:w="9666" w:h="14748" w:hRule="exact" w:wrap="none" w:vAnchor="page" w:hAnchor="page" w:x="1329" w:y="841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Раздел 1.</w:t>
      </w:r>
      <w:r>
        <w:t xml:space="preserve"> Стоимость нефинансовых активов (основных средств, непроизводственных активов, матер</w:t>
      </w:r>
      <w:r>
        <w:t>иальных запасов) на начало 2019 года составляла 9424,9 тыс. рублей, на конец года уменьшилась на 2147,7 тыс. рублей</w:t>
      </w:r>
    </w:p>
    <w:p w:rsidR="00256DAD" w:rsidRDefault="00E65B0F">
      <w:pPr>
        <w:pStyle w:val="60"/>
        <w:framePr w:w="9666" w:h="14748" w:hRule="exact" w:wrap="none" w:vAnchor="page" w:hAnchor="page" w:x="1329" w:y="841"/>
        <w:shd w:val="clear" w:color="auto" w:fill="auto"/>
        <w:spacing w:line="200" w:lineRule="exact"/>
      </w:pPr>
      <w:r>
        <w:t>12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91" w:h="5958" w:hRule="exact" w:wrap="none" w:vAnchor="page" w:hAnchor="page" w:x="1272" w:y="1276"/>
        <w:shd w:val="clear" w:color="auto" w:fill="auto"/>
        <w:spacing w:before="0" w:after="0" w:line="367" w:lineRule="exact"/>
      </w:pPr>
      <w:r>
        <w:t xml:space="preserve">и составила 7277,2 тыс. рублей. Данные раздела 1 баланса подтверждены </w:t>
      </w:r>
      <w:r>
        <w:rPr>
          <w:rStyle w:val="24"/>
        </w:rPr>
        <w:t>сведениями о движении нефинансовых активов</w:t>
      </w:r>
      <w:r>
        <w:t xml:space="preserve"> (форма 0503368). Согласно сведений поступило объектов основных средств на сумму 961,4 тыс. рублей, в том числе нежилые помещения -94,4 тыс. рублей, транспортные средства - 650,0 тыс. рублей, инвентарь производственный и хозяйственный - 217,0 тыс. рублей. </w:t>
      </w:r>
      <w:r>
        <w:t>Выбыло основных средств на сумму 1139,0 тыс. рублей, начислено амортизации на сумму 2017,0 тыс. рублей. Стоимость земельных участков на начало и коней 2019 года -2204,4 тыс. рублей. Материальных запасов поступило 227.2 тыс. рублей и выбыло на сумму 180,3 т</w:t>
      </w:r>
      <w:r>
        <w:t>ыс. рублей.</w:t>
      </w:r>
    </w:p>
    <w:p w:rsidR="00256DAD" w:rsidRDefault="00E65B0F">
      <w:pPr>
        <w:pStyle w:val="30"/>
        <w:framePr w:w="9691" w:h="5958" w:hRule="exact" w:wrap="none" w:vAnchor="page" w:hAnchor="page" w:x="1272" w:y="1276"/>
        <w:shd w:val="clear" w:color="auto" w:fill="auto"/>
        <w:ind w:firstLine="760"/>
        <w:jc w:val="both"/>
      </w:pPr>
      <w:r>
        <w:t xml:space="preserve">В результате сопоставления данных формы 0503368 «Сведения </w:t>
      </w:r>
      <w:r>
        <w:rPr>
          <w:rStyle w:val="33"/>
        </w:rPr>
        <w:t xml:space="preserve">о </w:t>
      </w:r>
      <w:r>
        <w:t xml:space="preserve">движении нефинансовых активов» сданными главной книги по состоянию на 01.01.2020 год установлено расхождение на сумму 49,3 тыс. рублей </w:t>
      </w:r>
      <w:r>
        <w:rPr>
          <w:rStyle w:val="33"/>
        </w:rPr>
        <w:t>(в главной книге - 18719,1 тыс. рублей, по сведен</w:t>
      </w:r>
      <w:r>
        <w:rPr>
          <w:rStyle w:val="33"/>
        </w:rPr>
        <w:t>иям ф.0503368 - 18669,8 тыс. рублей).</w:t>
      </w:r>
    </w:p>
    <w:p w:rsidR="00256DAD" w:rsidRDefault="00E65B0F">
      <w:pPr>
        <w:pStyle w:val="20"/>
        <w:framePr w:w="9691" w:h="5958" w:hRule="exact" w:wrap="none" w:vAnchor="page" w:hAnchor="page" w:x="1272" w:y="1276"/>
        <w:shd w:val="clear" w:color="auto" w:fill="auto"/>
        <w:spacing w:before="0" w:after="0" w:line="367" w:lineRule="exact"/>
        <w:ind w:firstLine="760"/>
      </w:pPr>
      <w:r>
        <w:t>Анализ данных главной книги и сведений формы 0503368 отражены в таблице № 4.</w:t>
      </w:r>
    </w:p>
    <w:p w:rsidR="00256DAD" w:rsidRDefault="00E65B0F">
      <w:pPr>
        <w:pStyle w:val="a7"/>
        <w:framePr w:wrap="none" w:vAnchor="page" w:hAnchor="page" w:x="8339" w:y="7459"/>
        <w:shd w:val="clear" w:color="auto" w:fill="auto"/>
        <w:spacing w:line="190" w:lineRule="exact"/>
      </w:pPr>
      <w:r>
        <w:rPr>
          <w:rStyle w:val="a8"/>
          <w:b/>
          <w:bCs/>
        </w:rPr>
        <w:t>Таблица № 4 (тыс, 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411"/>
        <w:gridCol w:w="1840"/>
        <w:gridCol w:w="2840"/>
      </w:tblGrid>
      <w:tr w:rsidR="00256DA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Наименование счета бюджетного учета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295pt"/>
              </w:rPr>
              <w:t>По данным главной книги.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295pt"/>
              </w:rPr>
              <w:t>11о данным формы 0503368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Отклонения </w:t>
            </w:r>
            <w:r>
              <w:rPr>
                <w:rStyle w:val="27pt"/>
              </w:rPr>
              <w:t>\</w:t>
            </w:r>
            <w:r>
              <w:rPr>
                <w:rStyle w:val="295pt"/>
              </w:rPr>
              <w:t>л.книга/ф.0503368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20" w:lineRule="exact"/>
              <w:ind w:left="560"/>
              <w:jc w:val="left"/>
            </w:pPr>
            <w:r>
              <w:rPr>
                <w:rStyle w:val="2BookmanOldStyle6pt"/>
              </w:rPr>
              <w:t>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left="1020"/>
              <w:jc w:val="left"/>
            </w:pPr>
            <w:r>
              <w:rPr>
                <w:rStyle w:val="295pt"/>
              </w:rPr>
              <w:t>4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Жилые помещения (101011000)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7771,1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7771.1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200" w:lineRule="exact"/>
              <w:ind w:right="1600"/>
              <w:jc w:val="right"/>
            </w:pPr>
            <w:r>
              <w:rPr>
                <w:rStyle w:val="210pt0"/>
              </w:rPr>
              <w:t>0.0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Нежилые помещения (110112000)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1513,07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1578,4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1600"/>
              <w:jc w:val="right"/>
            </w:pPr>
            <w:r>
              <w:rPr>
                <w:rStyle w:val="295pt"/>
              </w:rPr>
              <w:t>-65,3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Машины и оборудования (110134000)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2216,8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2212,9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left="1020"/>
              <w:jc w:val="left"/>
            </w:pPr>
            <w:r>
              <w:rPr>
                <w:rStyle w:val="295pt"/>
              </w:rPr>
              <w:t>3,9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Транспортные средства (110135000)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2844,1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3494,1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1600"/>
              <w:jc w:val="right"/>
            </w:pPr>
            <w:r>
              <w:rPr>
                <w:rStyle w:val="295pt"/>
              </w:rPr>
              <w:t>-650.0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Инвентарь производственный и </w:t>
            </w:r>
            <w:r>
              <w:rPr>
                <w:rStyle w:val="295pt"/>
              </w:rPr>
              <w:t>хозяйственный (110136000)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1832,6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1071,7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1600"/>
              <w:jc w:val="right"/>
            </w:pPr>
            <w:r>
              <w:rPr>
                <w:rStyle w:val="295pt"/>
              </w:rPr>
              <w:t>760,9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Прочие основные средства (1 10138000)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2541.52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254 1.5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200" w:lineRule="exact"/>
              <w:ind w:left="1020"/>
              <w:jc w:val="left"/>
            </w:pPr>
            <w:r>
              <w:rPr>
                <w:rStyle w:val="210pt0"/>
              </w:rPr>
              <w:t>0.0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Итого по ОС.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18719.2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18669.8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1600"/>
              <w:jc w:val="right"/>
            </w:pPr>
            <w:r>
              <w:rPr>
                <w:rStyle w:val="295pt"/>
              </w:rPr>
              <w:t>49,4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95pt"/>
              </w:rPr>
              <w:t>Непроизведенные активы (110311000)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2204.4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2204.4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200" w:lineRule="exact"/>
              <w:ind w:left="1020"/>
              <w:jc w:val="left"/>
            </w:pPr>
            <w:r>
              <w:rPr>
                <w:rStyle w:val="210pt0"/>
              </w:rPr>
              <w:t>0.0</w:t>
            </w:r>
          </w:p>
        </w:tc>
      </w:tr>
      <w:tr w:rsidR="00256DA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20923.6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880"/>
              <w:jc w:val="right"/>
            </w:pPr>
            <w:r>
              <w:rPr>
                <w:rStyle w:val="295pt"/>
              </w:rPr>
              <w:t>20874.2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AD" w:rsidRDefault="00E65B0F">
            <w:pPr>
              <w:pStyle w:val="20"/>
              <w:framePr w:w="9619" w:h="3402" w:wrap="none" w:vAnchor="page" w:hAnchor="page" w:x="1308" w:y="7690"/>
              <w:shd w:val="clear" w:color="auto" w:fill="auto"/>
              <w:spacing w:before="0" w:after="0" w:line="190" w:lineRule="exact"/>
              <w:ind w:right="1600"/>
              <w:jc w:val="right"/>
            </w:pPr>
            <w:r>
              <w:rPr>
                <w:rStyle w:val="295pt"/>
              </w:rPr>
              <w:t>49,4</w:t>
            </w:r>
          </w:p>
        </w:tc>
      </w:tr>
    </w:tbl>
    <w:p w:rsidR="00256DAD" w:rsidRDefault="00E65B0F">
      <w:pPr>
        <w:pStyle w:val="26"/>
        <w:framePr w:wrap="none" w:vAnchor="page" w:hAnchor="page" w:x="1981" w:y="11100"/>
        <w:shd w:val="clear" w:color="auto" w:fill="auto"/>
        <w:spacing w:line="260" w:lineRule="exact"/>
      </w:pPr>
      <w:r>
        <w:t xml:space="preserve">Как видно из таблицы, данные </w:t>
      </w:r>
      <w:r>
        <w:t>сведения о нефинансовых активах не</w:t>
      </w:r>
    </w:p>
    <w:p w:rsidR="00256DAD" w:rsidRDefault="00E65B0F">
      <w:pPr>
        <w:pStyle w:val="30"/>
        <w:framePr w:w="9691" w:h="4122" w:hRule="exact" w:wrap="none" w:vAnchor="page" w:hAnchor="page" w:x="1272" w:y="11385"/>
        <w:shd w:val="clear" w:color="auto" w:fill="auto"/>
        <w:jc w:val="both"/>
      </w:pPr>
      <w:r>
        <w:rPr>
          <w:rStyle w:val="33"/>
        </w:rPr>
        <w:t xml:space="preserve">соответствуют данным главной книги. </w:t>
      </w:r>
      <w:r>
        <w:t>Данный факт является нарушением п.7 Инструкции № 191 и, ст.13 Федерального закона от 06.12.2011г. № 402-ФЗ «О бухгалтерском учете» определяющей, что бюджетная отчетность составляется на</w:t>
      </w:r>
      <w:r>
        <w:t xml:space="preserve"> основе данных Главной книги и (или) других регистров бюджетного учета (и. 2.9. Классификатора нарушений счетной палаты: нарушение общих требований к бухгалтерской (финансовой) отчетности).</w:t>
      </w:r>
    </w:p>
    <w:p w:rsidR="00256DAD" w:rsidRDefault="00E65B0F">
      <w:pPr>
        <w:pStyle w:val="20"/>
        <w:framePr w:w="9691" w:h="4122" w:hRule="exact" w:wrap="none" w:vAnchor="page" w:hAnchor="page" w:x="1272" w:y="11385"/>
        <w:shd w:val="clear" w:color="auto" w:fill="auto"/>
        <w:spacing w:before="0" w:after="0" w:line="367" w:lineRule="exact"/>
        <w:ind w:firstLine="760"/>
      </w:pPr>
      <w:r>
        <w:rPr>
          <w:rStyle w:val="24"/>
        </w:rPr>
        <w:t>Раздел 2.</w:t>
      </w:r>
      <w:r>
        <w:t xml:space="preserve"> «Финансовые активы», стоимость финансовых активов на нач</w:t>
      </w:r>
      <w:r>
        <w:t>ало 2019 года составляла 610,6 тыс. рублей, в том числе средства на счетах бюджета в органе Федерального казначейства 440,9 тыс. рублей, дебиторская задолженность по доходам 165,6 тыс. рублей, дебиторская задолженность по выплатам 4,1 тыс. рублей. На конец</w:t>
      </w:r>
      <w:r>
        <w:t xml:space="preserve"> 2019 года стоимость финансовых активов</w:t>
      </w:r>
    </w:p>
    <w:p w:rsidR="00256DAD" w:rsidRDefault="00E65B0F">
      <w:pPr>
        <w:pStyle w:val="a5"/>
        <w:framePr w:wrap="none" w:vAnchor="page" w:hAnchor="page" w:x="10668" w:y="15771"/>
        <w:shd w:val="clear" w:color="auto" w:fill="auto"/>
        <w:spacing w:line="200" w:lineRule="exact"/>
      </w:pPr>
      <w:r>
        <w:t>13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62" w:h="14744" w:hRule="exact" w:wrap="none" w:vAnchor="page" w:hAnchor="page" w:x="1286" w:y="1003"/>
        <w:shd w:val="clear" w:color="auto" w:fill="auto"/>
        <w:spacing w:before="0" w:after="0" w:line="367" w:lineRule="exact"/>
      </w:pPr>
      <w:r>
        <w:t>увеличилась на 2015,0 тыс. рублей и составила 2625,6 тыс. рублей, в том числе средства на счетах бюджета в органе Федерального казначейства - 1557,7 тыс. рублей, дебиторская задолженность по доходам 1066,5 тыс. рублей, дебиторская задолженность по выплатам</w:t>
      </w:r>
      <w:r>
        <w:t xml:space="preserve"> 1,4 тыс. рублей. Данные раздела2 подтверждены </w:t>
      </w:r>
      <w:r>
        <w:rPr>
          <w:rStyle w:val="24"/>
        </w:rPr>
        <w:t>сведениями по дебиторской задолженности (форма 0503369</w:t>
      </w:r>
      <w:r>
        <w:rPr>
          <w:rStyle w:val="27"/>
        </w:rPr>
        <w:t>)</w:t>
      </w:r>
      <w:r>
        <w:t>, которые отражают дебиторскую задолженность на конец отчетного периода в сумме 1067,9 тыс. рублей, (в том числе просроченная задолженность 102,0 тыс. руб</w:t>
      </w:r>
      <w:r>
        <w:t>лей). В результате сопоставления данных формы 0503369 «Сведения по дебиторской задолженности» с данными главной книги установлено расхождение по счету 120551000 «Расчеты по поступлениям текущего характера от других бюджетов бюджетной системы Российской Фед</w:t>
      </w:r>
      <w:r>
        <w:t xml:space="preserve">ерации» на сумму 964,5 тыс. рублей. В главной книге указанный остаток отсутствует </w:t>
      </w:r>
      <w:r>
        <w:rPr>
          <w:rStyle w:val="21"/>
        </w:rPr>
        <w:t>(п. 2.9. Классификатора нарушений счетной палаты: нарушение общих требований к бухгалтерской (финансовой) отчетности (далее- н.2.9Классификатора нарушений)).</w:t>
      </w:r>
    </w:p>
    <w:p w:rsidR="00256DAD" w:rsidRDefault="00E65B0F">
      <w:pPr>
        <w:pStyle w:val="20"/>
        <w:framePr w:w="9662" w:h="14744" w:hRule="exact" w:wrap="none" w:vAnchor="page" w:hAnchor="page" w:x="1286" w:y="1003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Раздел 3</w:t>
      </w:r>
      <w:r>
        <w:t xml:space="preserve"> «Обязат</w:t>
      </w:r>
      <w:r>
        <w:t>ельства» общая сумма кредиторской задолженности на начало 2019 года составляла 661,9 тыс. рублей. На конец года кредиторская задолженность увеличилась на 902,02 тыс. рублей и составила 1563,9 тыс. рублей, в том числе по прочим расчетам с кредиторами - 343,</w:t>
      </w:r>
      <w:r>
        <w:t>5 тыс. рублей. По данным формы 0503369 «Сведения по кредиторской задолженности» в составе кредиторской задолженности отражено 343,5 тыс. рублей.</w:t>
      </w:r>
    </w:p>
    <w:p w:rsidR="00256DAD" w:rsidRDefault="00E65B0F">
      <w:pPr>
        <w:pStyle w:val="20"/>
        <w:framePr w:w="9662" w:h="14744" w:hRule="exact" w:wrap="none" w:vAnchor="page" w:hAnchor="page" w:x="1286" w:y="1003"/>
        <w:shd w:val="clear" w:color="auto" w:fill="auto"/>
        <w:spacing w:before="0" w:after="0" w:line="367" w:lineRule="exact"/>
        <w:ind w:firstLine="740"/>
      </w:pPr>
      <w:r>
        <w:t>В составе общей кредиторской задолженности просроченная кредиторская задолженность отсутствует.</w:t>
      </w:r>
    </w:p>
    <w:p w:rsidR="00256DAD" w:rsidRDefault="00E65B0F">
      <w:pPr>
        <w:pStyle w:val="20"/>
        <w:framePr w:w="9662" w:h="14744" w:hRule="exact" w:wrap="none" w:vAnchor="page" w:hAnchor="page" w:x="1286" w:y="1003"/>
        <w:shd w:val="clear" w:color="auto" w:fill="auto"/>
        <w:spacing w:before="0" w:after="0" w:line="367" w:lineRule="exact"/>
        <w:ind w:firstLine="740"/>
      </w:pPr>
      <w:r>
        <w:t>В результате со</w:t>
      </w:r>
      <w:r>
        <w:t xml:space="preserve">поставления данных формы 0503369 «Сведения по кредиторской задолженности» с данными главной книги установлено расхождение по счету 140140000 «Доходы будущих периодов» на сумму 964,5 тыс. рублей. В главной книге указанный остаток отсутствует (и.2.9 </w:t>
      </w:r>
      <w:r>
        <w:rPr>
          <w:rStyle w:val="21"/>
        </w:rPr>
        <w:t>Классифи</w:t>
      </w:r>
      <w:r>
        <w:rPr>
          <w:rStyle w:val="21"/>
        </w:rPr>
        <w:t>катора нарушений).</w:t>
      </w:r>
    </w:p>
    <w:p w:rsidR="00256DAD" w:rsidRDefault="00E65B0F">
      <w:pPr>
        <w:pStyle w:val="20"/>
        <w:framePr w:w="9662" w:h="14744" w:hRule="exact" w:wrap="none" w:vAnchor="page" w:hAnchor="page" w:x="1286" w:y="1003"/>
        <w:shd w:val="clear" w:color="auto" w:fill="auto"/>
        <w:spacing w:before="0" w:after="0" w:line="367" w:lineRule="exact"/>
        <w:ind w:firstLine="740"/>
      </w:pPr>
      <w:r>
        <w:t>Разделу 4 «Финансовый результат» на начало 2019 года составлял 9373,6 тыс. рублей, на конец года финансовый результат уменьшился на 1034,8 тыс. рублей и составил 8338,8 тыс. рублей.</w:t>
      </w:r>
    </w:p>
    <w:p w:rsidR="00256DAD" w:rsidRDefault="00E65B0F">
      <w:pPr>
        <w:pStyle w:val="70"/>
        <w:framePr w:w="9662" w:h="14744" w:hRule="exact" w:wrap="none" w:vAnchor="page" w:hAnchor="page" w:x="1286" w:y="1003"/>
        <w:shd w:val="clear" w:color="auto" w:fill="auto"/>
      </w:pPr>
      <w:r>
        <w:rPr>
          <w:rStyle w:val="71"/>
          <w:i/>
          <w:iCs/>
        </w:rPr>
        <w:t>Консолидированный отчет о движении денежных средств (ф.</w:t>
      </w:r>
      <w:r>
        <w:rPr>
          <w:rStyle w:val="71"/>
          <w:i/>
          <w:iCs/>
        </w:rPr>
        <w:t>0503323).</w:t>
      </w:r>
    </w:p>
    <w:p w:rsidR="00256DAD" w:rsidRDefault="00E65B0F">
      <w:pPr>
        <w:pStyle w:val="20"/>
        <w:framePr w:w="9662" w:h="14744" w:hRule="exact" w:wrap="none" w:vAnchor="page" w:hAnchor="page" w:x="1286" w:y="1003"/>
        <w:shd w:val="clear" w:color="auto" w:fill="auto"/>
        <w:spacing w:before="0" w:after="0" w:line="367" w:lineRule="exact"/>
        <w:ind w:firstLine="740"/>
      </w:pPr>
      <w:r>
        <w:t>Раздел 1. Показатели в отчете отражены в разрезе консолидированного бюджета поселения. В 2019 году налоговых и неналоговых доходов в бюджет поселения поступило 8782,25 тыс. рублей. В том числе, безвозмездные поступления от других бюджетов состави</w:t>
      </w:r>
      <w:r>
        <w:t xml:space="preserve">ли 7078,69 тыс. рублей. Раздел 2. Выбытия отражена детализированная информация по выбытиям. В 2019 году выбытия составили 7536,52 тыс. рублей. Показатели Отчета отражены по разделам «Поступления», «Выбытия», «Изменения остатков средств» по соответствующим </w:t>
      </w:r>
      <w:r>
        <w:t>кодам КОСГУ и соответствует данным, отраженным в Отчете</w:t>
      </w:r>
    </w:p>
    <w:p w:rsidR="00256DAD" w:rsidRDefault="00E65B0F">
      <w:pPr>
        <w:pStyle w:val="80"/>
        <w:framePr w:w="9662" w:h="14744" w:hRule="exact" w:wrap="none" w:vAnchor="page" w:hAnchor="page" w:x="1286" w:y="1003"/>
        <w:shd w:val="clear" w:color="auto" w:fill="auto"/>
        <w:spacing w:line="200" w:lineRule="exact"/>
        <w:ind w:left="9420"/>
      </w:pPr>
      <w:r>
        <w:t>14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</w:pPr>
      <w:r>
        <w:t>об исполнении бюджета (ф.0503317). Аналитическая информация по выбытиям отражена по наименованию показателя; коду строки, коду КОСГУ; коду раздела, подраздела классификации ра</w:t>
      </w:r>
      <w:r>
        <w:t>сходов бюджетов; сумме выбытий по соответствующему коду. Что соответствует требованиям пп. 198-200 Инструкции 191 н.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Справка по консолидируемым расчетам (ф.0503125)</w:t>
      </w:r>
      <w:r>
        <w:rPr>
          <w:rStyle w:val="28"/>
        </w:rPr>
        <w:t>.</w:t>
      </w:r>
      <w:r>
        <w:t xml:space="preserve"> В справке отражены доходы от поступлений от других бюджетов бюджетной системы РФ в сумме 650,7 тыс. рублей. Доходы от Министерства имущественных отношений Иркутской области составили 650,0тыс. рублей. Доходы от службы по тарифам Иркутской области 0,7 тыс.</w:t>
      </w:r>
      <w:r>
        <w:t xml:space="preserve"> рублей.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Отчет о финансовых результатах деятельности (форма по ОКУД 0503321)</w:t>
      </w:r>
      <w:r>
        <w:t xml:space="preserve"> отражает показатели финансового результата по операциям по соответствующему коду КОСГУ.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 xml:space="preserve">Согласно данному отчету начислено доходов в сумме 8782,25 тыс. рублей, в том числе </w:t>
      </w:r>
      <w:r>
        <w:t>налоговые доходы 1655,23 тыс. рублей, неналоговые доходы - 48.33 тыс. рублей, безвозмездные поступления от других бюджетов 7078,69 тыс. рублей, в том числе: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>-дотации на выравнивание уровня бюджетной обеспеченности из бюджета района 5898,39 тыс. рублей;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>-су</w:t>
      </w:r>
      <w:r>
        <w:t>бсидии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 -882,9 тыс. рублей;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>-субсидия на осуществление мероприятий народных инициатив-145,9 тыс. ру</w:t>
      </w:r>
      <w:r>
        <w:t>блей;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>-субвенция бюджетам сельских поселений на выполнение передаваемых полномочий субъектов 36,4 тыс. рублей;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>-субвенция бюджетам сельских поселений на осуществление первичного воинского учета на территориях, где отсутствуют военные комиссариаты-115,1 тыс</w:t>
      </w:r>
      <w:r>
        <w:t>. рублей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>Фактическое начисление расходов составило 7536,1 тыс. рублей, в том числе оплата труда и начисления на выплаты по оплате труда 4172,1 тыс. рублей, приобретение работ, услуг 1575,21 тыс. рублей, безвозмездные перечисления бюджетам 84,2 тыс. рублей,</w:t>
      </w:r>
      <w:r>
        <w:t xml:space="preserve"> социальное обеспечение 275,76 тыс. рублей, расходы по операциям с активами 2599,4 тыс. рублей, прочие расходы 1369,4 тыс. рублей.</w:t>
      </w:r>
    </w:p>
    <w:p w:rsidR="00256DAD" w:rsidRDefault="00E65B0F">
      <w:pPr>
        <w:pStyle w:val="20"/>
        <w:framePr w:w="9695" w:h="14755" w:hRule="exact" w:wrap="none" w:vAnchor="page" w:hAnchor="page" w:x="1270" w:y="997"/>
        <w:shd w:val="clear" w:color="auto" w:fill="auto"/>
        <w:spacing w:before="0" w:after="0" w:line="367" w:lineRule="exact"/>
        <w:ind w:firstLine="740"/>
      </w:pPr>
      <w:r>
        <w:t>При сверке показателей ф.0503321 и показателей Главной книги установлены расхождения по доходам на сумму 8782,2 тыс. рублей (</w:t>
      </w:r>
      <w:r>
        <w:t>в главной книге данные по доходам отсутствуют) и по расходам на сумму 204,2 тыс. рублей (в главной книге - 7656,2 тыс. рублей, ф.0503321 - 7452,0 тыс. рублей).</w:t>
      </w:r>
    </w:p>
    <w:p w:rsidR="00256DAD" w:rsidRDefault="00E65B0F">
      <w:pPr>
        <w:pStyle w:val="80"/>
        <w:framePr w:w="9695" w:h="14755" w:hRule="exact" w:wrap="none" w:vAnchor="page" w:hAnchor="page" w:x="1270" w:y="997"/>
        <w:shd w:val="clear" w:color="auto" w:fill="auto"/>
        <w:spacing w:line="200" w:lineRule="exact"/>
        <w:ind w:left="9420"/>
      </w:pPr>
      <w:r>
        <w:t>15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30"/>
        <w:framePr w:w="9680" w:h="14768" w:hRule="exact" w:wrap="none" w:vAnchor="page" w:hAnchor="page" w:x="1277" w:y="986"/>
        <w:shd w:val="clear" w:color="auto" w:fill="auto"/>
        <w:jc w:val="both"/>
      </w:pPr>
      <w:r>
        <w:rPr>
          <w:rStyle w:val="33"/>
        </w:rPr>
        <w:t>Соответственно в этих же суммах будет расхождение показателей главной к</w:t>
      </w:r>
      <w:r>
        <w:rPr>
          <w:rStyle w:val="33"/>
        </w:rPr>
        <w:t xml:space="preserve">ниги со </w:t>
      </w:r>
      <w:r>
        <w:rPr>
          <w:rStyle w:val="34"/>
        </w:rPr>
        <w:t>Справкой по заключению счетов бюджетного учета отчетного финансового года (ф.0503110).</w:t>
      </w:r>
      <w:r>
        <w:rPr>
          <w:rStyle w:val="33"/>
        </w:rPr>
        <w:t xml:space="preserve"> </w:t>
      </w:r>
      <w:r>
        <w:t xml:space="preserve">Это является нарушением п.7 Инструкции </w:t>
      </w:r>
      <w:r>
        <w:rPr>
          <w:rStyle w:val="33"/>
        </w:rPr>
        <w:t xml:space="preserve">№ </w:t>
      </w:r>
      <w:r>
        <w:t>191н, ст.13 Федерального закона от 06.12.2011г. № 402-ФЗ «О бухгалтерском учет» определяющей, что бюджетная отчетность с</w:t>
      </w:r>
      <w:r>
        <w:t xml:space="preserve">оставляется на основе данных Главной книги и (или) других регистров бюджетного учета </w:t>
      </w:r>
      <w:r>
        <w:rPr>
          <w:rStyle w:val="33"/>
        </w:rPr>
        <w:t>(п.2.9 Классификатора нарушений).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t>Чистое поступление основных средств составило отрицательное значение «минус» 2194,6 тыс. рублей (поступило основных средств на сумму 1951</w:t>
      </w:r>
      <w:r>
        <w:t>,7 тыс. рублей, выбыло на сумму 4146,3 тыс. рублей), чистое поступление материальных запасов 46,9 тыс. рублей (поступило материальных запасов на сумму 227,2 тыс. рублей, выбыло на сумму 1 80,3 тыс. рублей).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t xml:space="preserve">Финансовый результат по операциям по операциям с </w:t>
      </w:r>
      <w:r>
        <w:t>активами и обязательствами составил отрицательное значение «минус» 7576,5 тыс. рублей.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t>Чистый операционный результат по бюджетной деятельности составил</w:t>
      </w:r>
    </w:p>
    <w:p w:rsidR="00256DAD" w:rsidRDefault="00E65B0F">
      <w:pPr>
        <w:pStyle w:val="20"/>
        <w:framePr w:w="9680" w:h="14768" w:hRule="exact" w:wrap="none" w:vAnchor="page" w:hAnchor="page" w:x="1277" w:y="986"/>
        <w:numPr>
          <w:ilvl w:val="0"/>
          <w:numId w:val="6"/>
        </w:numPr>
        <w:shd w:val="clear" w:color="auto" w:fill="auto"/>
        <w:tabs>
          <w:tab w:val="left" w:pos="835"/>
        </w:tabs>
        <w:spacing w:before="0" w:after="0" w:line="367" w:lineRule="exact"/>
      </w:pPr>
      <w:r>
        <w:t>тыс. рублей (превышение доходов 8782,2 тыс. рублей над расходами</w:t>
      </w:r>
    </w:p>
    <w:p w:rsidR="00256DAD" w:rsidRDefault="00E65B0F">
      <w:pPr>
        <w:pStyle w:val="20"/>
        <w:framePr w:w="9680" w:h="14768" w:hRule="exact" w:wrap="none" w:vAnchor="page" w:hAnchor="page" w:x="1277" w:y="986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367" w:lineRule="exact"/>
      </w:pPr>
      <w:r>
        <w:t>тыс. рублей).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 xml:space="preserve">Сведенья о движении </w:t>
      </w:r>
      <w:r>
        <w:rPr>
          <w:rStyle w:val="24"/>
        </w:rPr>
        <w:t>нефинансовых активов (форма 0503368)</w:t>
      </w:r>
      <w:r>
        <w:t xml:space="preserve"> поступило объектов основных средств на сумму 961,4 тыс. рублей, в том числе нежилые помещения (здания и сооружения )-94,4 тыс. рублей, транспортные средства - 650,0 тыс. рублей, производственный и хозяйственный инвентар</w:t>
      </w:r>
      <w:r>
        <w:t>ь - 217,0 тыс. рублей.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Сведения по дебиторской задолженности (форма 0503369).</w:t>
      </w:r>
      <w:r>
        <w:t xml:space="preserve"> Дебиторская задолженность на начало отчетного периода составила 169,7 тыс. рублей, на конец отчетного периода 1067,9 тыс. рублей.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Сведения по кредиторской задолженности (форма 05</w:t>
      </w:r>
      <w:r>
        <w:rPr>
          <w:rStyle w:val="24"/>
        </w:rPr>
        <w:t>03369)</w:t>
      </w:r>
      <w:r>
        <w:rPr>
          <w:rStyle w:val="28"/>
        </w:rPr>
        <w:t xml:space="preserve">. </w:t>
      </w:r>
      <w:r>
        <w:t>Кредиторская задолженность отражена на начало отчетного периода 276,9 тыс. рублей, на конец 343,5 тыс. рублей.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t>Согласно ф.0503320 «Баланс исполнения консолидированного субъекта Российской Федерации и бюджета территориального государственного внебюд</w:t>
      </w:r>
      <w:r>
        <w:t>жетного фонда», кредиторская задолженность на начало 2019 года составила 276,95 тыс. рублей, на конец года 343,5 тыс. рублей.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По отчету об исполнении бюджета Биритского муниципального образования (форма 0503317)</w:t>
      </w:r>
      <w:r>
        <w:t xml:space="preserve"> утвержденные бюджетные назначения соответств</w:t>
      </w:r>
      <w:r>
        <w:t>уют уточненным показателям доходов и расходов бюджета, профицит местного бюджета составил 1245,7 тыс. рублей.</w:t>
      </w:r>
    </w:p>
    <w:p w:rsidR="00256DAD" w:rsidRDefault="00E65B0F">
      <w:pPr>
        <w:pStyle w:val="20"/>
        <w:framePr w:w="9680" w:h="14768" w:hRule="exact" w:wrap="none" w:vAnchor="page" w:hAnchor="page" w:x="1277" w:y="986"/>
        <w:shd w:val="clear" w:color="auto" w:fill="auto"/>
        <w:spacing w:before="0" w:after="0" w:line="367" w:lineRule="exact"/>
        <w:ind w:firstLine="740"/>
      </w:pPr>
      <w:r>
        <w:rPr>
          <w:rStyle w:val="24"/>
        </w:rPr>
        <w:t>Пояснительная записка</w:t>
      </w:r>
      <w:r>
        <w:t xml:space="preserve"> к отчету об исполнении бюджета составлена в соответствии с приказом №191 н от 28.12.2010 г. «Об утверждении Инструкции о пор</w:t>
      </w:r>
      <w:r>
        <w:t>ядке составления и представления годовой, квартальной и месячной</w:t>
      </w:r>
    </w:p>
    <w:p w:rsidR="00256DAD" w:rsidRDefault="00E65B0F">
      <w:pPr>
        <w:pStyle w:val="90"/>
        <w:framePr w:w="9680" w:h="14768" w:hRule="exact" w:wrap="none" w:vAnchor="page" w:hAnchor="page" w:x="1277" w:y="986"/>
        <w:shd w:val="clear" w:color="auto" w:fill="auto"/>
        <w:spacing w:line="210" w:lineRule="exact"/>
        <w:ind w:left="9420"/>
      </w:pPr>
      <w:r>
        <w:t>16</w:t>
      </w:r>
    </w:p>
    <w:p w:rsidR="00256DAD" w:rsidRDefault="00256DAD">
      <w:pPr>
        <w:rPr>
          <w:sz w:val="2"/>
          <w:szCs w:val="2"/>
        </w:rPr>
        <w:sectPr w:rsidR="00256D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6DAD" w:rsidRDefault="00E65B0F">
      <w:pPr>
        <w:pStyle w:val="20"/>
        <w:framePr w:w="9666" w:h="12982" w:hRule="exact" w:wrap="none" w:vAnchor="page" w:hAnchor="page" w:x="1273" w:y="1065"/>
        <w:shd w:val="clear" w:color="auto" w:fill="auto"/>
        <w:spacing w:before="0" w:after="0" w:line="367" w:lineRule="exact"/>
      </w:pPr>
      <w:r>
        <w:t>отчетности об исполнении бюджетов бюджетной системы Российской Федерации».</w:t>
      </w:r>
    </w:p>
    <w:p w:rsidR="00256DAD" w:rsidRDefault="00E65B0F">
      <w:pPr>
        <w:pStyle w:val="20"/>
        <w:framePr w:w="9666" w:h="12982" w:hRule="exact" w:wrap="none" w:vAnchor="page" w:hAnchor="page" w:x="1273" w:y="1065"/>
        <w:shd w:val="clear" w:color="auto" w:fill="auto"/>
        <w:spacing w:before="0" w:after="0" w:line="367" w:lineRule="exact"/>
        <w:ind w:firstLine="740"/>
      </w:pPr>
      <w:r>
        <w:t xml:space="preserve">Из таблицы № 6 «Сведения о проведении инвентаризации» видно, что инвентаризация активов и обязательств перед составлением бюджетной отчетности не проводилась, </w:t>
      </w:r>
      <w:r>
        <w:rPr>
          <w:rStyle w:val="21"/>
        </w:rPr>
        <w:t>чем нарушен п.7 Инструкции № 191 и.</w:t>
      </w:r>
    </w:p>
    <w:p w:rsidR="00256DAD" w:rsidRDefault="00E65B0F">
      <w:pPr>
        <w:pStyle w:val="20"/>
        <w:framePr w:w="9666" w:h="12982" w:hRule="exact" w:wrap="none" w:vAnchor="page" w:hAnchor="page" w:x="1273" w:y="1065"/>
        <w:shd w:val="clear" w:color="auto" w:fill="auto"/>
        <w:spacing w:before="0" w:after="300" w:line="367" w:lineRule="exact"/>
        <w:ind w:firstLine="740"/>
      </w:pPr>
      <w:r>
        <w:t xml:space="preserve">Проведенный анализ годовой бюджетной отчетности показал, что </w:t>
      </w:r>
      <w:r>
        <w:t>к проверке представлены соответствующие формы бюджетной отчетности.</w:t>
      </w:r>
    </w:p>
    <w:p w:rsidR="00256DAD" w:rsidRDefault="00E65B0F">
      <w:pPr>
        <w:pStyle w:val="10"/>
        <w:framePr w:w="9666" w:h="12982" w:hRule="exact" w:wrap="none" w:vAnchor="page" w:hAnchor="page" w:x="1273" w:y="1065"/>
        <w:shd w:val="clear" w:color="auto" w:fill="auto"/>
        <w:spacing w:line="367" w:lineRule="exact"/>
        <w:ind w:left="3480" w:firstLine="0"/>
        <w:jc w:val="left"/>
      </w:pPr>
      <w:bookmarkStart w:id="12" w:name="bookmark11"/>
      <w:r>
        <w:t>Выводы и рекомендации:</w:t>
      </w:r>
      <w:bookmarkEnd w:id="12"/>
    </w:p>
    <w:p w:rsidR="00256DAD" w:rsidRDefault="00E65B0F">
      <w:pPr>
        <w:pStyle w:val="20"/>
        <w:framePr w:w="9666" w:h="12982" w:hRule="exact" w:wrap="none" w:vAnchor="page" w:hAnchor="page" w:x="1273" w:y="1065"/>
        <w:numPr>
          <w:ilvl w:val="0"/>
          <w:numId w:val="8"/>
        </w:numPr>
        <w:shd w:val="clear" w:color="auto" w:fill="auto"/>
        <w:tabs>
          <w:tab w:val="left" w:pos="946"/>
        </w:tabs>
        <w:spacing w:before="0" w:after="0" w:line="367" w:lineRule="exact"/>
        <w:ind w:firstLine="740"/>
      </w:pPr>
      <w:r>
        <w:t xml:space="preserve">В ходе проведения внешней проверки годового отчета об исполнении бюджета Биритского муниципального образования за 2019 год фактов несоответствия исполнения бюджета, </w:t>
      </w:r>
      <w:r>
        <w:t>принятому решению о бюджете, превышения прав, предоставленных Администрации Биритского муниципального образования по сокращению расходов, перемещению ассигнований и блокировке расходов, не установлено.</w:t>
      </w:r>
    </w:p>
    <w:p w:rsidR="00256DAD" w:rsidRDefault="00E65B0F">
      <w:pPr>
        <w:pStyle w:val="20"/>
        <w:framePr w:w="9666" w:h="12982" w:hRule="exact" w:wrap="none" w:vAnchor="page" w:hAnchor="page" w:x="1273" w:y="1065"/>
        <w:numPr>
          <w:ilvl w:val="0"/>
          <w:numId w:val="8"/>
        </w:numPr>
        <w:shd w:val="clear" w:color="auto" w:fill="auto"/>
        <w:tabs>
          <w:tab w:val="left" w:pos="1154"/>
        </w:tabs>
        <w:spacing w:before="0" w:after="0" w:line="367" w:lineRule="exact"/>
        <w:ind w:firstLine="740"/>
      </w:pPr>
      <w:r>
        <w:t xml:space="preserve">В ходе проведения проверки выявлены нарушения, </w:t>
      </w:r>
      <w:r>
        <w:t>связанные с</w:t>
      </w:r>
    </w:p>
    <w:p w:rsidR="00256DAD" w:rsidRDefault="00E65B0F">
      <w:pPr>
        <w:pStyle w:val="20"/>
        <w:framePr w:w="9666" w:h="12982" w:hRule="exact" w:wrap="none" w:vAnchor="page" w:hAnchor="page" w:x="1273" w:y="1065"/>
        <w:shd w:val="clear" w:color="auto" w:fill="auto"/>
        <w:tabs>
          <w:tab w:val="left" w:pos="3089"/>
        </w:tabs>
        <w:spacing w:before="0" w:after="0" w:line="367" w:lineRule="exact"/>
      </w:pPr>
      <w:r>
        <w:t>формированием бюджетной отчетности: при сопоставлении ф. 0503368, ф.0503369, ф.0503321,</w:t>
      </w:r>
      <w:r>
        <w:tab/>
        <w:t>ф.0503110 с данными главной книги выявлены</w:t>
      </w:r>
    </w:p>
    <w:p w:rsidR="00256DAD" w:rsidRDefault="00E65B0F">
      <w:pPr>
        <w:pStyle w:val="20"/>
        <w:framePr w:w="9666" w:h="12982" w:hRule="exact" w:wrap="none" w:vAnchor="page" w:hAnchor="page" w:x="1273" w:y="1065"/>
        <w:shd w:val="clear" w:color="auto" w:fill="auto"/>
        <w:spacing w:before="0" w:after="0" w:line="367" w:lineRule="exact"/>
      </w:pPr>
      <w:r>
        <w:t>расхождения.</w:t>
      </w:r>
    </w:p>
    <w:p w:rsidR="00256DAD" w:rsidRDefault="00E65B0F">
      <w:pPr>
        <w:pStyle w:val="20"/>
        <w:framePr w:w="9666" w:h="12982" w:hRule="exact" w:wrap="none" w:vAnchor="page" w:hAnchor="page" w:x="1273" w:y="1065"/>
        <w:shd w:val="clear" w:color="auto" w:fill="auto"/>
        <w:spacing w:before="0" w:after="0" w:line="367" w:lineRule="exact"/>
        <w:ind w:firstLine="740"/>
      </w:pPr>
      <w:r>
        <w:t>Замечания связанные с формированием бюджетной отчетности являются нарушениями п.7 Инструкции № 191 и</w:t>
      </w:r>
      <w:r>
        <w:t xml:space="preserve"> ст. 13 Федерального закона от 06.12.2011 г. № 402-ФЗ «О бухгалтерском учете» определяющей, что бюджетная отчетность составляется на основе данных Главной книги и (или) других регистров бюджетного учета (п.2.9 Классификатора нарушений).</w:t>
      </w:r>
    </w:p>
    <w:p w:rsidR="00256DAD" w:rsidRDefault="00E65B0F">
      <w:pPr>
        <w:pStyle w:val="20"/>
        <w:framePr w:w="9666" w:h="12982" w:hRule="exact" w:wrap="none" w:vAnchor="page" w:hAnchor="page" w:x="1273" w:y="1065"/>
        <w:numPr>
          <w:ilvl w:val="0"/>
          <w:numId w:val="8"/>
        </w:numPr>
        <w:shd w:val="clear" w:color="auto" w:fill="auto"/>
        <w:tabs>
          <w:tab w:val="left" w:pos="1008"/>
        </w:tabs>
        <w:spacing w:before="0" w:after="0" w:line="367" w:lineRule="exact"/>
        <w:ind w:firstLine="740"/>
      </w:pPr>
      <w:r>
        <w:t xml:space="preserve">Администрации </w:t>
      </w:r>
      <w:r>
        <w:t>Биритского 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256DAD" w:rsidRDefault="00E65B0F">
      <w:pPr>
        <w:pStyle w:val="20"/>
        <w:framePr w:w="9666" w:h="12982" w:hRule="exact" w:wrap="none" w:vAnchor="page" w:hAnchor="page" w:x="1273" w:y="1065"/>
        <w:numPr>
          <w:ilvl w:val="0"/>
          <w:numId w:val="8"/>
        </w:numPr>
        <w:shd w:val="clear" w:color="auto" w:fill="auto"/>
        <w:tabs>
          <w:tab w:val="left" w:pos="1000"/>
        </w:tabs>
        <w:spacing w:before="0" w:after="0" w:line="367" w:lineRule="exact"/>
        <w:ind w:firstLine="740"/>
      </w:pPr>
      <w:r>
        <w:t xml:space="preserve">Основные направления бюджетной и налоговой политики и принципы формирования бюджета Биритского муниципального </w:t>
      </w:r>
      <w:r>
        <w:t>образования на 2019 год исполнены. Приоритетные направления финансирования выдержаны.</w:t>
      </w:r>
    </w:p>
    <w:p w:rsidR="00256DAD" w:rsidRDefault="00E65B0F">
      <w:pPr>
        <w:pStyle w:val="20"/>
        <w:framePr w:w="9666" w:h="12982" w:hRule="exact" w:wrap="none" w:vAnchor="page" w:hAnchor="page" w:x="1273" w:y="1065"/>
        <w:numPr>
          <w:ilvl w:val="0"/>
          <w:numId w:val="8"/>
        </w:numPr>
        <w:shd w:val="clear" w:color="auto" w:fill="auto"/>
        <w:tabs>
          <w:tab w:val="left" w:pos="946"/>
        </w:tabs>
        <w:spacing w:before="0" w:after="0" w:line="367" w:lineRule="exact"/>
        <w:ind w:firstLine="740"/>
      </w:pPr>
      <w:r>
        <w:t>На основании выше изложенного представляется возможным признать годовой отчет об исполнении бюджета Биритского муниципального образования за 2019 год по основным параметр</w:t>
      </w:r>
      <w:r>
        <w:t>ам достоверным и полным. Отчет может быть рекомендован к принятию решения о его утверждении представительным органом Биритского сельского поселения.</w:t>
      </w:r>
    </w:p>
    <w:p w:rsidR="00256DAD" w:rsidRDefault="00AE4DB6">
      <w:pPr>
        <w:framePr w:wrap="none" w:vAnchor="page" w:hAnchor="page" w:x="5766" w:y="149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457200"/>
            <wp:effectExtent l="0" t="0" r="9525" b="0"/>
            <wp:docPr id="2" name="Рисунок 2" descr="C:\Users\дом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AD" w:rsidRDefault="00E65B0F">
      <w:pPr>
        <w:pStyle w:val="20"/>
        <w:framePr w:w="2822" w:h="796" w:hRule="exact" w:wrap="none" w:vAnchor="page" w:hAnchor="page" w:x="1968" w:y="14555"/>
        <w:shd w:val="clear" w:color="auto" w:fill="auto"/>
        <w:spacing w:before="0" w:after="0" w:line="371" w:lineRule="exact"/>
        <w:jc w:val="left"/>
      </w:pPr>
      <w:r>
        <w:t>Инспектор КСП МО Б</w:t>
      </w:r>
      <w:r>
        <w:t>алаганский район</w:t>
      </w:r>
    </w:p>
    <w:p w:rsidR="00256DAD" w:rsidRDefault="00E65B0F">
      <w:pPr>
        <w:pStyle w:val="20"/>
        <w:framePr w:wrap="none" w:vAnchor="page" w:hAnchor="page" w:x="7692" w:y="15004"/>
        <w:shd w:val="clear" w:color="auto" w:fill="auto"/>
        <w:spacing w:before="0" w:after="0" w:line="260" w:lineRule="exact"/>
        <w:jc w:val="left"/>
      </w:pPr>
      <w:r>
        <w:t>Е.Ю.Укват</w:t>
      </w:r>
    </w:p>
    <w:p w:rsidR="00256DAD" w:rsidRDefault="00E65B0F">
      <w:pPr>
        <w:pStyle w:val="a5"/>
        <w:framePr w:wrap="none" w:vAnchor="page" w:hAnchor="page" w:x="10662" w:y="15553"/>
        <w:shd w:val="clear" w:color="auto" w:fill="auto"/>
        <w:spacing w:line="200" w:lineRule="exact"/>
      </w:pPr>
      <w:r>
        <w:t>17</w:t>
      </w:r>
    </w:p>
    <w:p w:rsidR="00256DAD" w:rsidRDefault="00256DAD">
      <w:pPr>
        <w:rPr>
          <w:sz w:val="2"/>
          <w:szCs w:val="2"/>
        </w:rPr>
      </w:pPr>
    </w:p>
    <w:sectPr w:rsidR="00256D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0F" w:rsidRDefault="00E65B0F">
      <w:r>
        <w:separator/>
      </w:r>
    </w:p>
  </w:endnote>
  <w:endnote w:type="continuationSeparator" w:id="0">
    <w:p w:rsidR="00E65B0F" w:rsidRDefault="00E6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0F" w:rsidRDefault="00E65B0F"/>
  </w:footnote>
  <w:footnote w:type="continuationSeparator" w:id="0">
    <w:p w:rsidR="00E65B0F" w:rsidRDefault="00E65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137"/>
    <w:multiLevelType w:val="multilevel"/>
    <w:tmpl w:val="EEF6E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87DA0"/>
    <w:multiLevelType w:val="multilevel"/>
    <w:tmpl w:val="8D50D176"/>
    <w:lvl w:ilvl="0">
      <w:start w:val="1"/>
      <w:numFmt w:val="decimal"/>
      <w:lvlText w:val="75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952C2"/>
    <w:multiLevelType w:val="multilevel"/>
    <w:tmpl w:val="660A1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34588"/>
    <w:multiLevelType w:val="multilevel"/>
    <w:tmpl w:val="4BBE12A0"/>
    <w:lvl w:ilvl="0">
      <w:start w:val="50332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F5A72"/>
    <w:multiLevelType w:val="multilevel"/>
    <w:tmpl w:val="2DC655BA"/>
    <w:lvl w:ilvl="0">
      <w:start w:val="6"/>
      <w:numFmt w:val="decimal"/>
      <w:lvlText w:val="33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03161"/>
    <w:multiLevelType w:val="multilevel"/>
    <w:tmpl w:val="1DD6F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02C17"/>
    <w:multiLevelType w:val="multilevel"/>
    <w:tmpl w:val="7370F846"/>
    <w:lvl w:ilvl="0">
      <w:start w:val="6"/>
      <w:numFmt w:val="decimal"/>
      <w:lvlText w:val="5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82513"/>
    <w:multiLevelType w:val="multilevel"/>
    <w:tmpl w:val="26AACCB0"/>
    <w:lvl w:ilvl="0">
      <w:start w:val="1"/>
      <w:numFmt w:val="decimal"/>
      <w:lvlText w:val="12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AD"/>
    <w:rsid w:val="00256DAD"/>
    <w:rsid w:val="00AE4DB6"/>
    <w:rsid w:val="00E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ind w:hanging="2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30"/>
      <w:szCs w:val="3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0" w:lineRule="atLeast"/>
      <w:jc w:val="righ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7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ind w:hanging="2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30"/>
      <w:szCs w:val="3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0" w:lineRule="atLeast"/>
      <w:jc w:val="righ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7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2020-12-18T08:35:00Z</dcterms:created>
  <dcterms:modified xsi:type="dcterms:W3CDTF">2020-12-18T08:35:00Z</dcterms:modified>
</cp:coreProperties>
</file>